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2E79" w14:textId="2BDCA9C1" w:rsidR="00DA6419" w:rsidRPr="00A8664F" w:rsidRDefault="009508B9" w:rsidP="00065F60">
      <w:pPr>
        <w:spacing w:after="0" w:line="276"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Efficacy and Safety </w:t>
      </w:r>
      <w:r w:rsidR="00C24DEF" w:rsidRPr="00A8664F">
        <w:rPr>
          <w:rFonts w:asciiTheme="majorBidi" w:eastAsia="Times New Roman" w:hAnsiTheme="majorBidi" w:cstheme="majorBidi"/>
          <w:b/>
          <w:bCs/>
          <w:color w:val="000000"/>
          <w:sz w:val="24"/>
          <w:szCs w:val="24"/>
        </w:rPr>
        <w:t xml:space="preserve">of </w:t>
      </w:r>
      <w:proofErr w:type="spellStart"/>
      <w:r w:rsidR="00C24DEF" w:rsidRPr="00A8664F">
        <w:rPr>
          <w:rFonts w:asciiTheme="majorBidi" w:eastAsia="Times New Roman" w:hAnsiTheme="majorBidi" w:cstheme="majorBidi"/>
          <w:b/>
          <w:bCs/>
          <w:color w:val="000000"/>
          <w:sz w:val="24"/>
          <w:szCs w:val="24"/>
        </w:rPr>
        <w:t>Nebivolol</w:t>
      </w:r>
      <w:proofErr w:type="spellEnd"/>
      <w:r w:rsidR="00C24DEF" w:rsidRPr="00A8664F">
        <w:rPr>
          <w:rFonts w:asciiTheme="majorBidi" w:eastAsia="Times New Roman" w:hAnsiTheme="majorBidi" w:cstheme="majorBidi"/>
          <w:b/>
          <w:bCs/>
          <w:color w:val="000000"/>
          <w:sz w:val="24"/>
          <w:szCs w:val="24"/>
        </w:rPr>
        <w:t xml:space="preserve"> In Preventing </w:t>
      </w:r>
      <w:proofErr w:type="spellStart"/>
      <w:r w:rsidR="00C24DEF" w:rsidRPr="00A8664F">
        <w:rPr>
          <w:rFonts w:asciiTheme="majorBidi" w:eastAsia="Times New Roman" w:hAnsiTheme="majorBidi" w:cstheme="majorBidi"/>
          <w:b/>
          <w:bCs/>
          <w:color w:val="000000"/>
          <w:sz w:val="24"/>
          <w:szCs w:val="24"/>
        </w:rPr>
        <w:t>Anthracycline</w:t>
      </w:r>
      <w:proofErr w:type="spellEnd"/>
      <w:r w:rsidR="00C24DEF" w:rsidRPr="00A8664F">
        <w:rPr>
          <w:rFonts w:asciiTheme="majorBidi" w:eastAsia="Times New Roman" w:hAnsiTheme="majorBidi" w:cstheme="majorBidi"/>
          <w:b/>
          <w:bCs/>
          <w:color w:val="000000"/>
          <w:sz w:val="24"/>
          <w:szCs w:val="24"/>
        </w:rPr>
        <w:t>-Induced Cardiotoxicity In Patients With Cancer: A Systematic Review and Meta-Analysis</w:t>
      </w:r>
    </w:p>
    <w:p w14:paraId="56FE9C47" w14:textId="36059DA0"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Farouk </w:t>
      </w:r>
      <w:proofErr w:type="spellStart"/>
      <w:r w:rsidRPr="00A8664F">
        <w:rPr>
          <w:rFonts w:asciiTheme="majorBidi" w:eastAsia="Times New Roman" w:hAnsiTheme="majorBidi" w:cstheme="majorBidi"/>
          <w:sz w:val="24"/>
          <w:szCs w:val="24"/>
          <w:lang w:val="en-US"/>
        </w:rPr>
        <w:t>Hijazi</w:t>
      </w:r>
      <w:proofErr w:type="spellEnd"/>
      <w:r w:rsidRPr="00A8664F">
        <w:rPr>
          <w:rFonts w:asciiTheme="majorBidi" w:eastAsia="Times New Roman" w:hAnsiTheme="majorBidi" w:cstheme="majorBidi"/>
          <w:sz w:val="24"/>
          <w:szCs w:val="24"/>
          <w:lang w:val="en-US"/>
        </w:rPr>
        <w:t xml:space="preserve">, MBBS¹; Fatima Khan, MBBS²; </w:t>
      </w:r>
      <w:proofErr w:type="spellStart"/>
      <w:r w:rsidRPr="00A8664F">
        <w:rPr>
          <w:rFonts w:asciiTheme="majorBidi" w:eastAsia="Times New Roman" w:hAnsiTheme="majorBidi" w:cstheme="majorBidi"/>
          <w:sz w:val="24"/>
          <w:szCs w:val="24"/>
          <w:lang w:val="en-US"/>
        </w:rPr>
        <w:t>Shifa</w:t>
      </w:r>
      <w:proofErr w:type="spellEnd"/>
      <w:r w:rsidRPr="00A8664F">
        <w:rPr>
          <w:rFonts w:asciiTheme="majorBidi" w:eastAsia="Times New Roman" w:hAnsiTheme="majorBidi" w:cstheme="majorBidi"/>
          <w:sz w:val="24"/>
          <w:szCs w:val="24"/>
          <w:lang w:val="en-US"/>
        </w:rPr>
        <w:t xml:space="preserve"> Latif, MBBS³; </w:t>
      </w:r>
      <w:proofErr w:type="spellStart"/>
      <w:r w:rsidRPr="00A8664F">
        <w:rPr>
          <w:rFonts w:asciiTheme="majorBidi" w:eastAsia="Times New Roman" w:hAnsiTheme="majorBidi" w:cstheme="majorBidi"/>
          <w:sz w:val="24"/>
          <w:szCs w:val="24"/>
          <w:lang w:val="en-US"/>
        </w:rPr>
        <w:t>Bushra</w:t>
      </w:r>
      <w:proofErr w:type="spellEnd"/>
      <w:r w:rsidRPr="00A8664F">
        <w:rPr>
          <w:rFonts w:asciiTheme="majorBidi" w:eastAsia="Times New Roman" w:hAnsiTheme="majorBidi" w:cstheme="majorBidi"/>
          <w:sz w:val="24"/>
          <w:szCs w:val="24"/>
          <w:lang w:val="en-US"/>
        </w:rPr>
        <w:t xml:space="preserve"> Akhtar, MBBS⁴; </w:t>
      </w:r>
      <w:proofErr w:type="spellStart"/>
      <w:r w:rsidRPr="00A8664F">
        <w:rPr>
          <w:rFonts w:asciiTheme="majorBidi" w:eastAsia="Times New Roman" w:hAnsiTheme="majorBidi" w:cstheme="majorBidi"/>
          <w:sz w:val="24"/>
          <w:szCs w:val="24"/>
          <w:lang w:val="en-US"/>
        </w:rPr>
        <w:t>Ammarah</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Rahmat</w:t>
      </w:r>
      <w:proofErr w:type="spellEnd"/>
      <w:r w:rsidRPr="00A8664F">
        <w:rPr>
          <w:rFonts w:asciiTheme="majorBidi" w:eastAsia="Times New Roman" w:hAnsiTheme="majorBidi" w:cstheme="majorBidi"/>
          <w:sz w:val="24"/>
          <w:szCs w:val="24"/>
          <w:lang w:val="en-US"/>
        </w:rPr>
        <w:t xml:space="preserve">, MBBS²; </w:t>
      </w:r>
      <w:proofErr w:type="spellStart"/>
      <w:r w:rsidRPr="00A8664F">
        <w:rPr>
          <w:rFonts w:asciiTheme="majorBidi" w:eastAsia="Times New Roman" w:hAnsiTheme="majorBidi" w:cstheme="majorBidi"/>
          <w:sz w:val="24"/>
          <w:szCs w:val="24"/>
          <w:lang w:val="en-US"/>
        </w:rPr>
        <w:t>Nabeela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Shaheen</w:t>
      </w:r>
      <w:proofErr w:type="spellEnd"/>
      <w:r w:rsidRPr="00A8664F">
        <w:rPr>
          <w:rFonts w:asciiTheme="majorBidi" w:eastAsia="Times New Roman" w:hAnsiTheme="majorBidi" w:cstheme="majorBidi"/>
          <w:sz w:val="24"/>
          <w:szCs w:val="24"/>
          <w:lang w:val="en-US"/>
        </w:rPr>
        <w:t xml:space="preserve">, MBBS⁵; </w:t>
      </w:r>
      <w:proofErr w:type="spellStart"/>
      <w:r w:rsidRPr="00A8664F">
        <w:rPr>
          <w:rFonts w:asciiTheme="majorBidi" w:eastAsia="Times New Roman" w:hAnsiTheme="majorBidi" w:cstheme="majorBidi"/>
          <w:sz w:val="24"/>
          <w:szCs w:val="24"/>
          <w:lang w:val="en-US"/>
        </w:rPr>
        <w:t>Maham</w:t>
      </w:r>
      <w:proofErr w:type="spellEnd"/>
      <w:r w:rsidRPr="00A8664F">
        <w:rPr>
          <w:rFonts w:asciiTheme="majorBidi" w:eastAsia="Times New Roman" w:hAnsiTheme="majorBidi" w:cstheme="majorBidi"/>
          <w:sz w:val="24"/>
          <w:szCs w:val="24"/>
          <w:lang w:val="en-US"/>
        </w:rPr>
        <w:t xml:space="preserve"> Hashmi, MBBS²; Zahra </w:t>
      </w:r>
      <w:proofErr w:type="spellStart"/>
      <w:r w:rsidRPr="00A8664F">
        <w:rPr>
          <w:rFonts w:asciiTheme="majorBidi" w:eastAsia="Times New Roman" w:hAnsiTheme="majorBidi" w:cstheme="majorBidi"/>
          <w:sz w:val="24"/>
          <w:szCs w:val="24"/>
          <w:lang w:val="en-US"/>
        </w:rPr>
        <w:t>Rubab</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Soomro</w:t>
      </w:r>
      <w:proofErr w:type="spellEnd"/>
      <w:r w:rsidRPr="00A8664F">
        <w:rPr>
          <w:rFonts w:asciiTheme="majorBidi" w:eastAsia="Times New Roman" w:hAnsiTheme="majorBidi" w:cstheme="majorBidi"/>
          <w:sz w:val="24"/>
          <w:szCs w:val="24"/>
          <w:lang w:val="en-US"/>
        </w:rPr>
        <w:t xml:space="preserve">, MBBS⁶; Mariam </w:t>
      </w:r>
      <w:proofErr w:type="spellStart"/>
      <w:r w:rsidRPr="00A8664F">
        <w:rPr>
          <w:rFonts w:asciiTheme="majorBidi" w:eastAsia="Times New Roman" w:hAnsiTheme="majorBidi" w:cstheme="majorBidi"/>
          <w:sz w:val="24"/>
          <w:szCs w:val="24"/>
          <w:lang w:val="en-US"/>
        </w:rPr>
        <w:t>Soukat</w:t>
      </w:r>
      <w:proofErr w:type="spellEnd"/>
      <w:r w:rsidRPr="00A8664F">
        <w:rPr>
          <w:rFonts w:asciiTheme="majorBidi" w:eastAsia="Times New Roman" w:hAnsiTheme="majorBidi" w:cstheme="majorBidi"/>
          <w:sz w:val="24"/>
          <w:szCs w:val="24"/>
          <w:lang w:val="en-US"/>
        </w:rPr>
        <w:t xml:space="preserve"> Ali, MBBS⁷; </w:t>
      </w:r>
      <w:proofErr w:type="spellStart"/>
      <w:r w:rsidRPr="00A8664F">
        <w:rPr>
          <w:rFonts w:asciiTheme="majorBidi" w:eastAsia="Times New Roman" w:hAnsiTheme="majorBidi" w:cstheme="majorBidi"/>
          <w:sz w:val="24"/>
          <w:szCs w:val="24"/>
          <w:lang w:val="en-US"/>
        </w:rPr>
        <w:t>Shehryar</w:t>
      </w:r>
      <w:proofErr w:type="spellEnd"/>
      <w:r w:rsidRPr="00A8664F">
        <w:rPr>
          <w:rFonts w:asciiTheme="majorBidi" w:eastAsia="Times New Roman" w:hAnsiTheme="majorBidi" w:cstheme="majorBidi"/>
          <w:sz w:val="24"/>
          <w:szCs w:val="24"/>
          <w:lang w:val="en-US"/>
        </w:rPr>
        <w:t xml:space="preserve"> Ahmed Malik, MBBS⁸; </w:t>
      </w:r>
      <w:proofErr w:type="spellStart"/>
      <w:r w:rsidRPr="00A8664F">
        <w:rPr>
          <w:rFonts w:asciiTheme="majorBidi" w:eastAsia="Times New Roman" w:hAnsiTheme="majorBidi" w:cstheme="majorBidi"/>
          <w:sz w:val="24"/>
          <w:szCs w:val="24"/>
          <w:lang w:val="en-US"/>
        </w:rPr>
        <w:t>Sumiyya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Shamshad</w:t>
      </w:r>
      <w:proofErr w:type="spellEnd"/>
      <w:r w:rsidRPr="00A8664F">
        <w:rPr>
          <w:rFonts w:asciiTheme="majorBidi" w:eastAsia="Times New Roman" w:hAnsiTheme="majorBidi" w:cstheme="majorBidi"/>
          <w:sz w:val="24"/>
          <w:szCs w:val="24"/>
          <w:lang w:val="en-US"/>
        </w:rPr>
        <w:t xml:space="preserve">, MBBS⁹; </w:t>
      </w:r>
      <w:proofErr w:type="spellStart"/>
      <w:r w:rsidRPr="00A8664F">
        <w:rPr>
          <w:rFonts w:asciiTheme="majorBidi" w:eastAsia="Times New Roman" w:hAnsiTheme="majorBidi" w:cstheme="majorBidi"/>
          <w:sz w:val="24"/>
          <w:szCs w:val="24"/>
          <w:lang w:val="en-US"/>
        </w:rPr>
        <w:t>Hazrat</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Maaz</w:t>
      </w:r>
      <w:proofErr w:type="spellEnd"/>
      <w:r w:rsidRPr="00A8664F">
        <w:rPr>
          <w:rFonts w:asciiTheme="majorBidi" w:eastAsia="Times New Roman" w:hAnsiTheme="majorBidi" w:cstheme="majorBidi"/>
          <w:sz w:val="24"/>
          <w:szCs w:val="24"/>
          <w:lang w:val="en-US"/>
        </w:rPr>
        <w:t xml:space="preserve">, MBBS¹⁰; </w:t>
      </w:r>
      <w:proofErr w:type="spellStart"/>
      <w:r w:rsidRPr="00A8664F">
        <w:rPr>
          <w:rFonts w:asciiTheme="majorBidi" w:eastAsia="Times New Roman" w:hAnsiTheme="majorBidi" w:cstheme="majorBidi"/>
          <w:sz w:val="24"/>
          <w:szCs w:val="24"/>
          <w:lang w:val="en-US"/>
        </w:rPr>
        <w:t>Aneeqa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Yaseen</w:t>
      </w:r>
      <w:proofErr w:type="spellEnd"/>
      <w:r w:rsidRPr="00A8664F">
        <w:rPr>
          <w:rFonts w:asciiTheme="majorBidi" w:eastAsia="Times New Roman" w:hAnsiTheme="majorBidi" w:cstheme="majorBidi"/>
          <w:sz w:val="24"/>
          <w:szCs w:val="24"/>
          <w:lang w:val="en-US"/>
        </w:rPr>
        <w:t xml:space="preserve">, MBBS¹¹; Muhammad </w:t>
      </w:r>
      <w:proofErr w:type="spellStart"/>
      <w:r w:rsidRPr="00A8664F">
        <w:rPr>
          <w:rFonts w:asciiTheme="majorBidi" w:eastAsia="Times New Roman" w:hAnsiTheme="majorBidi" w:cstheme="majorBidi"/>
          <w:sz w:val="24"/>
          <w:szCs w:val="24"/>
          <w:lang w:val="en-US"/>
        </w:rPr>
        <w:t>Rehan</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Zahid</w:t>
      </w:r>
      <w:proofErr w:type="spellEnd"/>
      <w:r w:rsidRPr="00A8664F">
        <w:rPr>
          <w:rFonts w:asciiTheme="majorBidi" w:eastAsia="Times New Roman" w:hAnsiTheme="majorBidi" w:cstheme="majorBidi"/>
          <w:sz w:val="24"/>
          <w:szCs w:val="24"/>
          <w:lang w:val="en-US"/>
        </w:rPr>
        <w:t xml:space="preserve">, MBBS¹²; David </w:t>
      </w:r>
      <w:proofErr w:type="spellStart"/>
      <w:r w:rsidRPr="00A8664F">
        <w:rPr>
          <w:rFonts w:asciiTheme="majorBidi" w:eastAsia="Times New Roman" w:hAnsiTheme="majorBidi" w:cstheme="majorBidi"/>
          <w:sz w:val="24"/>
          <w:szCs w:val="24"/>
          <w:lang w:val="en-US"/>
        </w:rPr>
        <w:t>Woode</w:t>
      </w:r>
      <w:proofErr w:type="spellEnd"/>
      <w:r w:rsidRPr="00A8664F">
        <w:rPr>
          <w:rFonts w:asciiTheme="majorBidi" w:eastAsia="Times New Roman" w:hAnsiTheme="majorBidi" w:cstheme="majorBidi"/>
          <w:sz w:val="24"/>
          <w:szCs w:val="24"/>
          <w:lang w:val="en-US"/>
        </w:rPr>
        <w:t xml:space="preserve">, MBBS¹³; </w:t>
      </w:r>
      <w:proofErr w:type="spellStart"/>
      <w:r w:rsidRPr="00A8664F">
        <w:rPr>
          <w:rFonts w:asciiTheme="majorBidi" w:eastAsia="Times New Roman" w:hAnsiTheme="majorBidi" w:cstheme="majorBidi"/>
          <w:sz w:val="24"/>
          <w:szCs w:val="24"/>
          <w:lang w:val="en-US"/>
        </w:rPr>
        <w:t>Sumia</w:t>
      </w:r>
      <w:proofErr w:type="spellEnd"/>
      <w:r w:rsidRPr="00A8664F">
        <w:rPr>
          <w:rFonts w:asciiTheme="majorBidi" w:eastAsia="Times New Roman" w:hAnsiTheme="majorBidi" w:cstheme="majorBidi"/>
          <w:sz w:val="24"/>
          <w:szCs w:val="24"/>
          <w:lang w:val="en-US"/>
        </w:rPr>
        <w:t xml:space="preserve"> Fatima, MBBS⁴; </w:t>
      </w:r>
      <w:proofErr w:type="spellStart"/>
      <w:r w:rsidRPr="00A8664F">
        <w:rPr>
          <w:rFonts w:asciiTheme="majorBidi" w:eastAsia="Times New Roman" w:hAnsiTheme="majorBidi" w:cstheme="majorBidi"/>
          <w:sz w:val="24"/>
          <w:szCs w:val="24"/>
          <w:lang w:val="en-US"/>
        </w:rPr>
        <w:t>Muddassir</w:t>
      </w:r>
      <w:proofErr w:type="spellEnd"/>
      <w:r w:rsidRPr="00A8664F">
        <w:rPr>
          <w:rFonts w:asciiTheme="majorBidi" w:eastAsia="Times New Roman" w:hAnsiTheme="majorBidi" w:cstheme="majorBidi"/>
          <w:sz w:val="24"/>
          <w:szCs w:val="24"/>
          <w:lang w:val="en-US"/>
        </w:rPr>
        <w:t xml:space="preserve"> Khalid, MBBS⁸; Fred </w:t>
      </w:r>
      <w:proofErr w:type="spellStart"/>
      <w:r w:rsidRPr="00A8664F">
        <w:rPr>
          <w:rFonts w:asciiTheme="majorBidi" w:eastAsia="Times New Roman" w:hAnsiTheme="majorBidi" w:cstheme="majorBidi"/>
          <w:sz w:val="24"/>
          <w:szCs w:val="24"/>
          <w:lang w:val="en-US"/>
        </w:rPr>
        <w:t>Segawa</w:t>
      </w:r>
      <w:proofErr w:type="spellEnd"/>
      <w:r w:rsidRPr="00A8664F">
        <w:rPr>
          <w:rFonts w:asciiTheme="majorBidi" w:eastAsia="Times New Roman" w:hAnsiTheme="majorBidi" w:cstheme="majorBidi"/>
          <w:sz w:val="24"/>
          <w:szCs w:val="24"/>
          <w:lang w:val="en-US"/>
        </w:rPr>
        <w:t>, MBChB¹⁴*</w:t>
      </w:r>
    </w:p>
    <w:p w14:paraId="00BE266A"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¹ Ajman University, Ajman, United Arab Emirates</w:t>
      </w:r>
    </w:p>
    <w:p w14:paraId="19D46316"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² Khyber Girls Medical College, Peshawar, Pakistan</w:t>
      </w:r>
    </w:p>
    <w:p w14:paraId="03EA0DC7"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³ Government Medical College, </w:t>
      </w:r>
      <w:proofErr w:type="spellStart"/>
      <w:r w:rsidRPr="00A8664F">
        <w:rPr>
          <w:rFonts w:asciiTheme="majorBidi" w:eastAsia="Times New Roman" w:hAnsiTheme="majorBidi" w:cstheme="majorBidi"/>
          <w:sz w:val="24"/>
          <w:szCs w:val="24"/>
          <w:lang w:val="en-US"/>
        </w:rPr>
        <w:t>Baramulla</w:t>
      </w:r>
      <w:proofErr w:type="spellEnd"/>
      <w:r w:rsidRPr="00A8664F">
        <w:rPr>
          <w:rFonts w:asciiTheme="majorBidi" w:eastAsia="Times New Roman" w:hAnsiTheme="majorBidi" w:cstheme="majorBidi"/>
          <w:sz w:val="24"/>
          <w:szCs w:val="24"/>
          <w:lang w:val="en-US"/>
        </w:rPr>
        <w:t>, India</w:t>
      </w:r>
    </w:p>
    <w:p w14:paraId="451F2E8C"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⁴ Rawalpindi Medical University, Rawalpindi, Pakistan</w:t>
      </w:r>
    </w:p>
    <w:p w14:paraId="5849893C"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⁵ Sargodha Medical College, Sargodha, Pakistan</w:t>
      </w:r>
    </w:p>
    <w:p w14:paraId="1822B943"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⁶ Sheikh </w:t>
      </w:r>
      <w:proofErr w:type="spellStart"/>
      <w:r w:rsidRPr="00A8664F">
        <w:rPr>
          <w:rFonts w:asciiTheme="majorBidi" w:eastAsia="Times New Roman" w:hAnsiTheme="majorBidi" w:cstheme="majorBidi"/>
          <w:sz w:val="24"/>
          <w:szCs w:val="24"/>
          <w:lang w:val="en-US"/>
        </w:rPr>
        <w:t>Zayed</w:t>
      </w:r>
      <w:proofErr w:type="spellEnd"/>
      <w:r w:rsidRPr="00A8664F">
        <w:rPr>
          <w:rFonts w:asciiTheme="majorBidi" w:eastAsia="Times New Roman" w:hAnsiTheme="majorBidi" w:cstheme="majorBidi"/>
          <w:sz w:val="24"/>
          <w:szCs w:val="24"/>
          <w:lang w:val="en-US"/>
        </w:rPr>
        <w:t xml:space="preserve"> Medical College, Pakistan</w:t>
      </w:r>
    </w:p>
    <w:p w14:paraId="0729F97D"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⁷ </w:t>
      </w:r>
      <w:proofErr w:type="spellStart"/>
      <w:r w:rsidRPr="00A8664F">
        <w:rPr>
          <w:rFonts w:asciiTheme="majorBidi" w:eastAsia="Times New Roman" w:hAnsiTheme="majorBidi" w:cstheme="majorBidi"/>
          <w:sz w:val="24"/>
          <w:szCs w:val="24"/>
          <w:lang w:val="en-US"/>
        </w:rPr>
        <w:t>Sree</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Balaji</w:t>
      </w:r>
      <w:proofErr w:type="spellEnd"/>
      <w:r w:rsidRPr="00A8664F">
        <w:rPr>
          <w:rFonts w:asciiTheme="majorBidi" w:eastAsia="Times New Roman" w:hAnsiTheme="majorBidi" w:cstheme="majorBidi"/>
          <w:sz w:val="24"/>
          <w:szCs w:val="24"/>
          <w:lang w:val="en-US"/>
        </w:rPr>
        <w:t xml:space="preserve"> Medical College and Hospital, India</w:t>
      </w:r>
    </w:p>
    <w:p w14:paraId="7054E216"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⁸ </w:t>
      </w:r>
      <w:proofErr w:type="spellStart"/>
      <w:r w:rsidRPr="00A8664F">
        <w:rPr>
          <w:rFonts w:asciiTheme="majorBidi" w:eastAsia="Times New Roman" w:hAnsiTheme="majorBidi" w:cstheme="majorBidi"/>
          <w:sz w:val="24"/>
          <w:szCs w:val="24"/>
          <w:lang w:val="en-US"/>
        </w:rPr>
        <w:t>Nishtar</w:t>
      </w:r>
      <w:proofErr w:type="spellEnd"/>
      <w:r w:rsidRPr="00A8664F">
        <w:rPr>
          <w:rFonts w:asciiTheme="majorBidi" w:eastAsia="Times New Roman" w:hAnsiTheme="majorBidi" w:cstheme="majorBidi"/>
          <w:sz w:val="24"/>
          <w:szCs w:val="24"/>
          <w:lang w:val="en-US"/>
        </w:rPr>
        <w:t xml:space="preserve"> Medical University, Multan, Pakistan</w:t>
      </w:r>
    </w:p>
    <w:p w14:paraId="0372503F"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⁹ </w:t>
      </w:r>
      <w:proofErr w:type="spellStart"/>
      <w:r w:rsidRPr="00A8664F">
        <w:rPr>
          <w:rFonts w:asciiTheme="majorBidi" w:eastAsia="Times New Roman" w:hAnsiTheme="majorBidi" w:cstheme="majorBidi"/>
          <w:sz w:val="24"/>
          <w:szCs w:val="24"/>
          <w:lang w:val="en-US"/>
        </w:rPr>
        <w:t>Liaquat</w:t>
      </w:r>
      <w:proofErr w:type="spellEnd"/>
      <w:r w:rsidRPr="00A8664F">
        <w:rPr>
          <w:rFonts w:asciiTheme="majorBidi" w:eastAsia="Times New Roman" w:hAnsiTheme="majorBidi" w:cstheme="majorBidi"/>
          <w:sz w:val="24"/>
          <w:szCs w:val="24"/>
          <w:lang w:val="en-US"/>
        </w:rPr>
        <w:t xml:space="preserve"> University of Medical and Health Sciences, Pakistan</w:t>
      </w:r>
    </w:p>
    <w:p w14:paraId="537D23BA"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¹⁰ </w:t>
      </w:r>
      <w:proofErr w:type="spellStart"/>
      <w:r w:rsidRPr="00A8664F">
        <w:rPr>
          <w:rFonts w:asciiTheme="majorBidi" w:eastAsia="Times New Roman" w:hAnsiTheme="majorBidi" w:cstheme="majorBidi"/>
          <w:sz w:val="24"/>
          <w:szCs w:val="24"/>
          <w:lang w:val="en-US"/>
        </w:rPr>
        <w:t>Mardan</w:t>
      </w:r>
      <w:proofErr w:type="spellEnd"/>
      <w:r w:rsidRPr="00A8664F">
        <w:rPr>
          <w:rFonts w:asciiTheme="majorBidi" w:eastAsia="Times New Roman" w:hAnsiTheme="majorBidi" w:cstheme="majorBidi"/>
          <w:sz w:val="24"/>
          <w:szCs w:val="24"/>
          <w:lang w:val="en-US"/>
        </w:rPr>
        <w:t xml:space="preserve"> Medical Complex, </w:t>
      </w:r>
      <w:proofErr w:type="spellStart"/>
      <w:r w:rsidRPr="00A8664F">
        <w:rPr>
          <w:rFonts w:asciiTheme="majorBidi" w:eastAsia="Times New Roman" w:hAnsiTheme="majorBidi" w:cstheme="majorBidi"/>
          <w:sz w:val="24"/>
          <w:szCs w:val="24"/>
          <w:lang w:val="en-US"/>
        </w:rPr>
        <w:t>Mardan</w:t>
      </w:r>
      <w:proofErr w:type="spellEnd"/>
      <w:r w:rsidRPr="00A8664F">
        <w:rPr>
          <w:rFonts w:asciiTheme="majorBidi" w:eastAsia="Times New Roman" w:hAnsiTheme="majorBidi" w:cstheme="majorBidi"/>
          <w:sz w:val="24"/>
          <w:szCs w:val="24"/>
          <w:lang w:val="en-US"/>
        </w:rPr>
        <w:t>, Pakistan</w:t>
      </w:r>
    </w:p>
    <w:p w14:paraId="02D0822C"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¹¹ Services Institute of Medical Sciences, Lahore, Pakistan</w:t>
      </w:r>
    </w:p>
    <w:p w14:paraId="141E7F2B"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¹² Sialkot Medical College, Sialkot, Pakistan</w:t>
      </w:r>
    </w:p>
    <w:p w14:paraId="71015C67"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¹³ Xavier University School of Medicine, </w:t>
      </w:r>
      <w:proofErr w:type="spellStart"/>
      <w:r w:rsidRPr="00A8664F">
        <w:rPr>
          <w:rFonts w:asciiTheme="majorBidi" w:eastAsia="Times New Roman" w:hAnsiTheme="majorBidi" w:cstheme="majorBidi"/>
          <w:sz w:val="24"/>
          <w:szCs w:val="24"/>
          <w:lang w:val="en-US"/>
        </w:rPr>
        <w:t>Oranjestad</w:t>
      </w:r>
      <w:proofErr w:type="spellEnd"/>
      <w:r w:rsidRPr="00A8664F">
        <w:rPr>
          <w:rFonts w:asciiTheme="majorBidi" w:eastAsia="Times New Roman" w:hAnsiTheme="majorBidi" w:cstheme="majorBidi"/>
          <w:sz w:val="24"/>
          <w:szCs w:val="24"/>
          <w:lang w:val="en-US"/>
        </w:rPr>
        <w:t>, Aruba</w:t>
      </w:r>
    </w:p>
    <w:p w14:paraId="5C42CCB5"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¹⁴ </w:t>
      </w:r>
      <w:proofErr w:type="spellStart"/>
      <w:r w:rsidRPr="00A8664F">
        <w:rPr>
          <w:rFonts w:asciiTheme="majorBidi" w:eastAsia="Times New Roman" w:hAnsiTheme="majorBidi" w:cstheme="majorBidi"/>
          <w:sz w:val="24"/>
          <w:szCs w:val="24"/>
          <w:lang w:val="en-US"/>
        </w:rPr>
        <w:t>Makerere</w:t>
      </w:r>
      <w:proofErr w:type="spellEnd"/>
      <w:r w:rsidRPr="00A8664F">
        <w:rPr>
          <w:rFonts w:asciiTheme="majorBidi" w:eastAsia="Times New Roman" w:hAnsiTheme="majorBidi" w:cstheme="majorBidi"/>
          <w:sz w:val="24"/>
          <w:szCs w:val="24"/>
          <w:lang w:val="en-US"/>
        </w:rPr>
        <w:t xml:space="preserve"> University College of Health Sciences, Kampala, Central Region, Uganda</w:t>
      </w:r>
    </w:p>
    <w:p w14:paraId="09B42E2C" w14:textId="77777777" w:rsidR="00DA6419" w:rsidRPr="00A8664F" w:rsidRDefault="00DA6419" w:rsidP="00065F60">
      <w:pPr>
        <w:spacing w:before="100" w:beforeAutospacing="1" w:after="0" w:line="276" w:lineRule="auto"/>
        <w:outlineLvl w:val="1"/>
        <w:rPr>
          <w:rFonts w:asciiTheme="majorBidi" w:eastAsia="Times New Roman" w:hAnsiTheme="majorBidi" w:cstheme="majorBidi"/>
          <w:b/>
          <w:bCs/>
          <w:sz w:val="24"/>
          <w:szCs w:val="24"/>
          <w:lang w:val="en-US"/>
        </w:rPr>
      </w:pPr>
      <w:r w:rsidRPr="00A8664F">
        <w:rPr>
          <w:rFonts w:asciiTheme="majorBidi" w:eastAsia="Times New Roman" w:hAnsiTheme="majorBidi" w:cstheme="majorBidi"/>
          <w:b/>
          <w:bCs/>
          <w:sz w:val="24"/>
          <w:szCs w:val="24"/>
          <w:lang w:val="en-US"/>
        </w:rPr>
        <w:t>Corresponding Author</w:t>
      </w:r>
    </w:p>
    <w:p w14:paraId="605C0F78" w14:textId="77777777"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Fred </w:t>
      </w:r>
      <w:proofErr w:type="spellStart"/>
      <w:r w:rsidRPr="00A8664F">
        <w:rPr>
          <w:rFonts w:asciiTheme="majorBidi" w:eastAsia="Times New Roman" w:hAnsiTheme="majorBidi" w:cstheme="majorBidi"/>
          <w:sz w:val="24"/>
          <w:szCs w:val="24"/>
          <w:lang w:val="en-US"/>
        </w:rPr>
        <w:t>Segawa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MBChB</w:t>
      </w:r>
      <w:proofErr w:type="spellEnd"/>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Makerere</w:t>
      </w:r>
      <w:proofErr w:type="spellEnd"/>
      <w:r w:rsidRPr="00A8664F">
        <w:rPr>
          <w:rFonts w:asciiTheme="majorBidi" w:eastAsia="Times New Roman" w:hAnsiTheme="majorBidi" w:cstheme="majorBidi"/>
          <w:sz w:val="24"/>
          <w:szCs w:val="24"/>
          <w:lang w:val="en-US"/>
        </w:rPr>
        <w:t xml:space="preserve"> University College of Health Sciences, Kampala, Central Region, Uganda</w:t>
      </w:r>
      <w:r w:rsidRPr="00A8664F">
        <w:rPr>
          <w:rFonts w:asciiTheme="majorBidi" w:eastAsia="Times New Roman" w:hAnsiTheme="majorBidi" w:cstheme="majorBidi"/>
          <w:sz w:val="24"/>
          <w:szCs w:val="24"/>
          <w:lang w:val="en-US"/>
        </w:rPr>
        <w:br/>
        <w:t>Email: dr.fredsegawa@gmail.com</w:t>
      </w:r>
      <w:r w:rsidRPr="00A8664F">
        <w:rPr>
          <w:rFonts w:asciiTheme="majorBidi" w:eastAsia="Times New Roman" w:hAnsiTheme="majorBidi" w:cstheme="majorBidi"/>
          <w:sz w:val="24"/>
          <w:szCs w:val="24"/>
          <w:lang w:val="en-US"/>
        </w:rPr>
        <w:br/>
        <w:t>ORCID: 0009-0004-7441-9135</w:t>
      </w:r>
    </w:p>
    <w:p w14:paraId="5D9F2A13" w14:textId="56FBB87F" w:rsidR="00DA6419" w:rsidRPr="00A8664F" w:rsidRDefault="00DA6419" w:rsidP="00065F60">
      <w:pPr>
        <w:spacing w:before="100" w:beforeAutospacing="1" w:after="0" w:line="276" w:lineRule="auto"/>
        <w:rPr>
          <w:rFonts w:asciiTheme="majorBidi" w:eastAsia="Times New Roman" w:hAnsiTheme="majorBidi" w:cstheme="majorBidi"/>
          <w:sz w:val="24"/>
          <w:szCs w:val="24"/>
          <w:lang w:val="en-US"/>
        </w:rPr>
      </w:pPr>
    </w:p>
    <w:p w14:paraId="3E1E08D3" w14:textId="77777777" w:rsidR="00DA6419" w:rsidRPr="00A8664F" w:rsidRDefault="00DA6419" w:rsidP="00065F60">
      <w:pPr>
        <w:spacing w:before="100" w:beforeAutospacing="1" w:after="0" w:line="276" w:lineRule="auto"/>
        <w:outlineLvl w:val="1"/>
        <w:rPr>
          <w:rFonts w:asciiTheme="majorBidi" w:eastAsia="Times New Roman" w:hAnsiTheme="majorBidi" w:cstheme="majorBidi"/>
          <w:b/>
          <w:bCs/>
          <w:sz w:val="24"/>
          <w:szCs w:val="24"/>
          <w:lang w:val="en-US"/>
        </w:rPr>
      </w:pPr>
      <w:r w:rsidRPr="00A8664F">
        <w:rPr>
          <w:rFonts w:asciiTheme="majorBidi" w:eastAsia="Times New Roman" w:hAnsiTheme="majorBidi" w:cstheme="majorBidi"/>
          <w:b/>
          <w:bCs/>
          <w:sz w:val="24"/>
          <w:szCs w:val="24"/>
          <w:lang w:val="en-US"/>
        </w:rPr>
        <w:t>Individual Author Details</w:t>
      </w:r>
    </w:p>
    <w:p w14:paraId="21454C0A"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Farouk </w:t>
      </w:r>
      <w:proofErr w:type="spellStart"/>
      <w:r w:rsidRPr="00A8664F">
        <w:rPr>
          <w:rFonts w:asciiTheme="majorBidi" w:eastAsia="Times New Roman" w:hAnsiTheme="majorBidi" w:cstheme="majorBidi"/>
          <w:sz w:val="24"/>
          <w:szCs w:val="24"/>
          <w:lang w:val="en-US"/>
        </w:rPr>
        <w:t>Hijazi</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Ajman University, Ajman, United Arab Emirates</w:t>
      </w:r>
      <w:r w:rsidRPr="00A8664F">
        <w:rPr>
          <w:rFonts w:asciiTheme="majorBidi" w:eastAsia="Times New Roman" w:hAnsiTheme="majorBidi" w:cstheme="majorBidi"/>
          <w:sz w:val="24"/>
          <w:szCs w:val="24"/>
          <w:lang w:val="en-US"/>
        </w:rPr>
        <w:br/>
        <w:t>Email: faroukraed123@gmail.com</w:t>
      </w:r>
      <w:r w:rsidRPr="00A8664F">
        <w:rPr>
          <w:rFonts w:asciiTheme="majorBidi" w:eastAsia="Times New Roman" w:hAnsiTheme="majorBidi" w:cstheme="majorBidi"/>
          <w:sz w:val="24"/>
          <w:szCs w:val="24"/>
          <w:lang w:val="en-US"/>
        </w:rPr>
        <w:br/>
        <w:t>ORCID: 0009-0000-8652-9180</w:t>
      </w:r>
    </w:p>
    <w:p w14:paraId="7A82D6BF"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Fatima Khan, MBBS</w:t>
      </w:r>
      <w:r w:rsidRPr="00A8664F">
        <w:rPr>
          <w:rFonts w:asciiTheme="majorBidi" w:eastAsia="Times New Roman" w:hAnsiTheme="majorBidi" w:cstheme="majorBidi"/>
          <w:sz w:val="24"/>
          <w:szCs w:val="24"/>
          <w:lang w:val="en-US"/>
        </w:rPr>
        <w:br/>
        <w:t>Khyber Girls Medical College, Peshawar, Pakistan</w:t>
      </w:r>
      <w:r w:rsidRPr="00A8664F">
        <w:rPr>
          <w:rFonts w:asciiTheme="majorBidi" w:eastAsia="Times New Roman" w:hAnsiTheme="majorBidi" w:cstheme="majorBidi"/>
          <w:sz w:val="24"/>
          <w:szCs w:val="24"/>
          <w:lang w:val="en-US"/>
        </w:rPr>
        <w:br/>
        <w:t>Email: mefatimakhan21@gmail.com</w:t>
      </w:r>
      <w:r w:rsidRPr="00A8664F">
        <w:rPr>
          <w:rFonts w:asciiTheme="majorBidi" w:eastAsia="Times New Roman" w:hAnsiTheme="majorBidi" w:cstheme="majorBidi"/>
          <w:sz w:val="24"/>
          <w:szCs w:val="24"/>
          <w:lang w:val="en-US"/>
        </w:rPr>
        <w:br/>
        <w:t>ORCID: 0009-0004-5453-702X</w:t>
      </w:r>
    </w:p>
    <w:p w14:paraId="087569A8"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Shifa</w:t>
      </w:r>
      <w:proofErr w:type="spellEnd"/>
      <w:r w:rsidRPr="00A8664F">
        <w:rPr>
          <w:rFonts w:asciiTheme="majorBidi" w:eastAsia="Times New Roman" w:hAnsiTheme="majorBidi" w:cstheme="majorBidi"/>
          <w:sz w:val="24"/>
          <w:szCs w:val="24"/>
          <w:lang w:val="en-US"/>
        </w:rPr>
        <w:t xml:space="preserve"> Latif, MBBS</w:t>
      </w:r>
      <w:r w:rsidRPr="00A8664F">
        <w:rPr>
          <w:rFonts w:asciiTheme="majorBidi" w:eastAsia="Times New Roman" w:hAnsiTheme="majorBidi" w:cstheme="majorBidi"/>
          <w:sz w:val="24"/>
          <w:szCs w:val="24"/>
          <w:lang w:val="en-US"/>
        </w:rPr>
        <w:br/>
        <w:t xml:space="preserve">Government Medical College, </w:t>
      </w:r>
      <w:proofErr w:type="spellStart"/>
      <w:r w:rsidRPr="00A8664F">
        <w:rPr>
          <w:rFonts w:asciiTheme="majorBidi" w:eastAsia="Times New Roman" w:hAnsiTheme="majorBidi" w:cstheme="majorBidi"/>
          <w:sz w:val="24"/>
          <w:szCs w:val="24"/>
          <w:lang w:val="en-US"/>
        </w:rPr>
        <w:t>Baramulla</w:t>
      </w:r>
      <w:proofErr w:type="spellEnd"/>
      <w:r w:rsidRPr="00A8664F">
        <w:rPr>
          <w:rFonts w:asciiTheme="majorBidi" w:eastAsia="Times New Roman" w:hAnsiTheme="majorBidi" w:cstheme="majorBidi"/>
          <w:sz w:val="24"/>
          <w:szCs w:val="24"/>
          <w:lang w:val="en-US"/>
        </w:rPr>
        <w:t>, India</w:t>
      </w:r>
      <w:r w:rsidRPr="00A8664F">
        <w:rPr>
          <w:rFonts w:asciiTheme="majorBidi" w:eastAsia="Times New Roman" w:hAnsiTheme="majorBidi" w:cstheme="majorBidi"/>
          <w:sz w:val="24"/>
          <w:szCs w:val="24"/>
          <w:lang w:val="en-US"/>
        </w:rPr>
        <w:br/>
        <w:t>Email: shiffalatif@gmail.com</w:t>
      </w:r>
      <w:r w:rsidRPr="00A8664F">
        <w:rPr>
          <w:rFonts w:asciiTheme="majorBidi" w:eastAsia="Times New Roman" w:hAnsiTheme="majorBidi" w:cstheme="majorBidi"/>
          <w:sz w:val="24"/>
          <w:szCs w:val="24"/>
          <w:lang w:val="en-US"/>
        </w:rPr>
        <w:br/>
        <w:t>ORCID: 0009-0007-0428-9939</w:t>
      </w:r>
    </w:p>
    <w:p w14:paraId="1B6306B5"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Bushra</w:t>
      </w:r>
      <w:proofErr w:type="spellEnd"/>
      <w:r w:rsidRPr="00A8664F">
        <w:rPr>
          <w:rFonts w:asciiTheme="majorBidi" w:eastAsia="Times New Roman" w:hAnsiTheme="majorBidi" w:cstheme="majorBidi"/>
          <w:sz w:val="24"/>
          <w:szCs w:val="24"/>
          <w:lang w:val="en-US"/>
        </w:rPr>
        <w:t xml:space="preserve"> Akhtar, MBBS</w:t>
      </w:r>
      <w:r w:rsidRPr="00A8664F">
        <w:rPr>
          <w:rFonts w:asciiTheme="majorBidi" w:eastAsia="Times New Roman" w:hAnsiTheme="majorBidi" w:cstheme="majorBidi"/>
          <w:sz w:val="24"/>
          <w:szCs w:val="24"/>
          <w:lang w:val="en-US"/>
        </w:rPr>
        <w:br/>
        <w:t>Rawalpindi Medical University, Rawalpindi, Pakistan</w:t>
      </w:r>
      <w:r w:rsidRPr="00A8664F">
        <w:rPr>
          <w:rFonts w:asciiTheme="majorBidi" w:eastAsia="Times New Roman" w:hAnsiTheme="majorBidi" w:cstheme="majorBidi"/>
          <w:sz w:val="24"/>
          <w:szCs w:val="24"/>
          <w:lang w:val="en-US"/>
        </w:rPr>
        <w:br/>
        <w:t>Email: bushraskhtar@gmail.com</w:t>
      </w:r>
      <w:r w:rsidRPr="00A8664F">
        <w:rPr>
          <w:rFonts w:asciiTheme="majorBidi" w:eastAsia="Times New Roman" w:hAnsiTheme="majorBidi" w:cstheme="majorBidi"/>
          <w:sz w:val="24"/>
          <w:szCs w:val="24"/>
          <w:lang w:val="en-US"/>
        </w:rPr>
        <w:br/>
        <w:t>ORCID: 0009-0009-1345-0098</w:t>
      </w:r>
    </w:p>
    <w:p w14:paraId="41051BD4"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Ammarah</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Rahmat</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Khyber Girls Medical College, Peshawar, Pakistan</w:t>
      </w:r>
      <w:r w:rsidRPr="00A8664F">
        <w:rPr>
          <w:rFonts w:asciiTheme="majorBidi" w:eastAsia="Times New Roman" w:hAnsiTheme="majorBidi" w:cstheme="majorBidi"/>
          <w:sz w:val="24"/>
          <w:szCs w:val="24"/>
          <w:lang w:val="en-US"/>
        </w:rPr>
        <w:br/>
        <w:t>Email: rahmatammarah@gmail.com</w:t>
      </w:r>
      <w:r w:rsidRPr="00A8664F">
        <w:rPr>
          <w:rFonts w:asciiTheme="majorBidi" w:eastAsia="Times New Roman" w:hAnsiTheme="majorBidi" w:cstheme="majorBidi"/>
          <w:sz w:val="24"/>
          <w:szCs w:val="24"/>
          <w:lang w:val="en-US"/>
        </w:rPr>
        <w:br/>
        <w:t>ORCID: 0009-0004-4338-1285</w:t>
      </w:r>
    </w:p>
    <w:p w14:paraId="7C097831"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Nabeela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Shaheen</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Sargodha Medical College, Sargodha, Pakistan</w:t>
      </w:r>
      <w:r w:rsidRPr="00A8664F">
        <w:rPr>
          <w:rFonts w:asciiTheme="majorBidi" w:eastAsia="Times New Roman" w:hAnsiTheme="majorBidi" w:cstheme="majorBidi"/>
          <w:sz w:val="24"/>
          <w:szCs w:val="24"/>
          <w:lang w:val="en-US"/>
        </w:rPr>
        <w:br/>
        <w:t>Email: nabeelashaheen58@gmail.com</w:t>
      </w:r>
      <w:r w:rsidRPr="00A8664F">
        <w:rPr>
          <w:rFonts w:asciiTheme="majorBidi" w:eastAsia="Times New Roman" w:hAnsiTheme="majorBidi" w:cstheme="majorBidi"/>
          <w:sz w:val="24"/>
          <w:szCs w:val="24"/>
          <w:lang w:val="en-US"/>
        </w:rPr>
        <w:br/>
        <w:t>ORCID: 0009-0006-6303-2335</w:t>
      </w:r>
    </w:p>
    <w:p w14:paraId="1254EA63"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Maham</w:t>
      </w:r>
      <w:proofErr w:type="spellEnd"/>
      <w:r w:rsidRPr="00A8664F">
        <w:rPr>
          <w:rFonts w:asciiTheme="majorBidi" w:eastAsia="Times New Roman" w:hAnsiTheme="majorBidi" w:cstheme="majorBidi"/>
          <w:sz w:val="24"/>
          <w:szCs w:val="24"/>
          <w:lang w:val="en-US"/>
        </w:rPr>
        <w:t xml:space="preserve"> Hashmi, MBBS</w:t>
      </w:r>
      <w:r w:rsidRPr="00A8664F">
        <w:rPr>
          <w:rFonts w:asciiTheme="majorBidi" w:eastAsia="Times New Roman" w:hAnsiTheme="majorBidi" w:cstheme="majorBidi"/>
          <w:sz w:val="24"/>
          <w:szCs w:val="24"/>
          <w:lang w:val="en-US"/>
        </w:rPr>
        <w:br/>
        <w:t>Khyber Girls Medical College, Peshawar, Pakistan</w:t>
      </w:r>
      <w:r w:rsidRPr="00A8664F">
        <w:rPr>
          <w:rFonts w:asciiTheme="majorBidi" w:eastAsia="Times New Roman" w:hAnsiTheme="majorBidi" w:cstheme="majorBidi"/>
          <w:sz w:val="24"/>
          <w:szCs w:val="24"/>
          <w:lang w:val="en-US"/>
        </w:rPr>
        <w:br/>
        <w:t>Email: mahamhashmi.med@gmail.com</w:t>
      </w:r>
      <w:r w:rsidRPr="00A8664F">
        <w:rPr>
          <w:rFonts w:asciiTheme="majorBidi" w:eastAsia="Times New Roman" w:hAnsiTheme="majorBidi" w:cstheme="majorBidi"/>
          <w:sz w:val="24"/>
          <w:szCs w:val="24"/>
          <w:lang w:val="en-US"/>
        </w:rPr>
        <w:br/>
        <w:t>ORCID: 0009-0004-9034-1817</w:t>
      </w:r>
    </w:p>
    <w:p w14:paraId="5EB091BC"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Zahra </w:t>
      </w:r>
      <w:proofErr w:type="spellStart"/>
      <w:r w:rsidRPr="00A8664F">
        <w:rPr>
          <w:rFonts w:asciiTheme="majorBidi" w:eastAsia="Times New Roman" w:hAnsiTheme="majorBidi" w:cstheme="majorBidi"/>
          <w:sz w:val="24"/>
          <w:szCs w:val="24"/>
          <w:lang w:val="en-US"/>
        </w:rPr>
        <w:t>Rubab</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Soomro</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 xml:space="preserve">Sheikh </w:t>
      </w:r>
      <w:proofErr w:type="spellStart"/>
      <w:r w:rsidRPr="00A8664F">
        <w:rPr>
          <w:rFonts w:asciiTheme="majorBidi" w:eastAsia="Times New Roman" w:hAnsiTheme="majorBidi" w:cstheme="majorBidi"/>
          <w:sz w:val="24"/>
          <w:szCs w:val="24"/>
          <w:lang w:val="en-US"/>
        </w:rPr>
        <w:t>Zayed</w:t>
      </w:r>
      <w:proofErr w:type="spellEnd"/>
      <w:r w:rsidRPr="00A8664F">
        <w:rPr>
          <w:rFonts w:asciiTheme="majorBidi" w:eastAsia="Times New Roman" w:hAnsiTheme="majorBidi" w:cstheme="majorBidi"/>
          <w:sz w:val="24"/>
          <w:szCs w:val="24"/>
          <w:lang w:val="en-US"/>
        </w:rPr>
        <w:t xml:space="preserve"> Medical College, Pakistan</w:t>
      </w:r>
      <w:r w:rsidRPr="00A8664F">
        <w:rPr>
          <w:rFonts w:asciiTheme="majorBidi" w:eastAsia="Times New Roman" w:hAnsiTheme="majorBidi" w:cstheme="majorBidi"/>
          <w:sz w:val="24"/>
          <w:szCs w:val="24"/>
          <w:lang w:val="en-US"/>
        </w:rPr>
        <w:br/>
        <w:t>Email: Zararubab1048@gmail.com</w:t>
      </w:r>
      <w:r w:rsidRPr="00A8664F">
        <w:rPr>
          <w:rFonts w:asciiTheme="majorBidi" w:eastAsia="Times New Roman" w:hAnsiTheme="majorBidi" w:cstheme="majorBidi"/>
          <w:sz w:val="24"/>
          <w:szCs w:val="24"/>
          <w:lang w:val="en-US"/>
        </w:rPr>
        <w:br/>
        <w:t>ORCID: 0009-0008-6101-3821</w:t>
      </w:r>
    </w:p>
    <w:p w14:paraId="36D3B4DC"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Mariam </w:t>
      </w:r>
      <w:proofErr w:type="spellStart"/>
      <w:r w:rsidRPr="00A8664F">
        <w:rPr>
          <w:rFonts w:asciiTheme="majorBidi" w:eastAsia="Times New Roman" w:hAnsiTheme="majorBidi" w:cstheme="majorBidi"/>
          <w:sz w:val="24"/>
          <w:szCs w:val="24"/>
          <w:lang w:val="en-US"/>
        </w:rPr>
        <w:t>Soukat</w:t>
      </w:r>
      <w:proofErr w:type="spellEnd"/>
      <w:r w:rsidRPr="00A8664F">
        <w:rPr>
          <w:rFonts w:asciiTheme="majorBidi" w:eastAsia="Times New Roman" w:hAnsiTheme="majorBidi" w:cstheme="majorBidi"/>
          <w:sz w:val="24"/>
          <w:szCs w:val="24"/>
          <w:lang w:val="en-US"/>
        </w:rPr>
        <w:t xml:space="preserve"> Ali, MBBS</w:t>
      </w:r>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Sree</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Balaji</w:t>
      </w:r>
      <w:proofErr w:type="spellEnd"/>
      <w:r w:rsidRPr="00A8664F">
        <w:rPr>
          <w:rFonts w:asciiTheme="majorBidi" w:eastAsia="Times New Roman" w:hAnsiTheme="majorBidi" w:cstheme="majorBidi"/>
          <w:sz w:val="24"/>
          <w:szCs w:val="24"/>
          <w:lang w:val="en-US"/>
        </w:rPr>
        <w:t xml:space="preserve"> Medical College and Hospital, India</w:t>
      </w:r>
      <w:r w:rsidRPr="00A8664F">
        <w:rPr>
          <w:rFonts w:asciiTheme="majorBidi" w:eastAsia="Times New Roman" w:hAnsiTheme="majorBidi" w:cstheme="majorBidi"/>
          <w:sz w:val="24"/>
          <w:szCs w:val="24"/>
          <w:lang w:val="en-US"/>
        </w:rPr>
        <w:br/>
        <w:t>Email: mariamskt00@gmail.com</w:t>
      </w:r>
      <w:r w:rsidRPr="00A8664F">
        <w:rPr>
          <w:rFonts w:asciiTheme="majorBidi" w:eastAsia="Times New Roman" w:hAnsiTheme="majorBidi" w:cstheme="majorBidi"/>
          <w:sz w:val="24"/>
          <w:szCs w:val="24"/>
          <w:lang w:val="en-US"/>
        </w:rPr>
        <w:br/>
        <w:t>ORCID: 0009-0006-7633-8405</w:t>
      </w:r>
    </w:p>
    <w:p w14:paraId="72CE3469"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Shehryar</w:t>
      </w:r>
      <w:proofErr w:type="spellEnd"/>
      <w:r w:rsidRPr="00A8664F">
        <w:rPr>
          <w:rFonts w:asciiTheme="majorBidi" w:eastAsia="Times New Roman" w:hAnsiTheme="majorBidi" w:cstheme="majorBidi"/>
          <w:sz w:val="24"/>
          <w:szCs w:val="24"/>
          <w:lang w:val="en-US"/>
        </w:rPr>
        <w:t xml:space="preserve"> Ahmed Malik, MBBS</w:t>
      </w:r>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Nishtar</w:t>
      </w:r>
      <w:proofErr w:type="spellEnd"/>
      <w:r w:rsidRPr="00A8664F">
        <w:rPr>
          <w:rFonts w:asciiTheme="majorBidi" w:eastAsia="Times New Roman" w:hAnsiTheme="majorBidi" w:cstheme="majorBidi"/>
          <w:sz w:val="24"/>
          <w:szCs w:val="24"/>
          <w:lang w:val="en-US"/>
        </w:rPr>
        <w:t xml:space="preserve"> Medical University, Multan, Pakistan</w:t>
      </w:r>
      <w:r w:rsidRPr="00A8664F">
        <w:rPr>
          <w:rFonts w:asciiTheme="majorBidi" w:eastAsia="Times New Roman" w:hAnsiTheme="majorBidi" w:cstheme="majorBidi"/>
          <w:sz w:val="24"/>
          <w:szCs w:val="24"/>
          <w:lang w:val="en-US"/>
        </w:rPr>
        <w:br/>
        <w:t>Email: shehryarmalik.sam@gmail.com</w:t>
      </w:r>
      <w:r w:rsidRPr="00A8664F">
        <w:rPr>
          <w:rFonts w:asciiTheme="majorBidi" w:eastAsia="Times New Roman" w:hAnsiTheme="majorBidi" w:cstheme="majorBidi"/>
          <w:sz w:val="24"/>
          <w:szCs w:val="24"/>
          <w:lang w:val="en-US"/>
        </w:rPr>
        <w:br/>
        <w:t>ORCID: 0009-0006-8125-6711</w:t>
      </w:r>
    </w:p>
    <w:p w14:paraId="6BBD8DD6"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Sumiyya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Shamshad</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Liaquat</w:t>
      </w:r>
      <w:proofErr w:type="spellEnd"/>
      <w:r w:rsidRPr="00A8664F">
        <w:rPr>
          <w:rFonts w:asciiTheme="majorBidi" w:eastAsia="Times New Roman" w:hAnsiTheme="majorBidi" w:cstheme="majorBidi"/>
          <w:sz w:val="24"/>
          <w:szCs w:val="24"/>
          <w:lang w:val="en-US"/>
        </w:rPr>
        <w:t xml:space="preserve"> University of Medical and Health Sciences, Pakistan</w:t>
      </w:r>
      <w:r w:rsidRPr="00A8664F">
        <w:rPr>
          <w:rFonts w:asciiTheme="majorBidi" w:eastAsia="Times New Roman" w:hAnsiTheme="majorBidi" w:cstheme="majorBidi"/>
          <w:sz w:val="24"/>
          <w:szCs w:val="24"/>
          <w:lang w:val="en-US"/>
        </w:rPr>
        <w:br/>
        <w:t>Email: Sumiyyashamshad@gmail.com</w:t>
      </w:r>
      <w:r w:rsidRPr="00A8664F">
        <w:rPr>
          <w:rFonts w:asciiTheme="majorBidi" w:eastAsia="Times New Roman" w:hAnsiTheme="majorBidi" w:cstheme="majorBidi"/>
          <w:sz w:val="24"/>
          <w:szCs w:val="24"/>
          <w:lang w:val="en-US"/>
        </w:rPr>
        <w:br/>
        <w:t>ORCID: 0009-0007-2565-8035</w:t>
      </w:r>
    </w:p>
    <w:p w14:paraId="61F747F2"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Hazrat</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Maaz</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Mardan</w:t>
      </w:r>
      <w:proofErr w:type="spellEnd"/>
      <w:r w:rsidRPr="00A8664F">
        <w:rPr>
          <w:rFonts w:asciiTheme="majorBidi" w:eastAsia="Times New Roman" w:hAnsiTheme="majorBidi" w:cstheme="majorBidi"/>
          <w:sz w:val="24"/>
          <w:szCs w:val="24"/>
          <w:lang w:val="en-US"/>
        </w:rPr>
        <w:t xml:space="preserve"> Medical Complex, </w:t>
      </w:r>
      <w:proofErr w:type="spellStart"/>
      <w:r w:rsidRPr="00A8664F">
        <w:rPr>
          <w:rFonts w:asciiTheme="majorBidi" w:eastAsia="Times New Roman" w:hAnsiTheme="majorBidi" w:cstheme="majorBidi"/>
          <w:sz w:val="24"/>
          <w:szCs w:val="24"/>
          <w:lang w:val="en-US"/>
        </w:rPr>
        <w:t>Mardan</w:t>
      </w:r>
      <w:proofErr w:type="spellEnd"/>
      <w:r w:rsidRPr="00A8664F">
        <w:rPr>
          <w:rFonts w:asciiTheme="majorBidi" w:eastAsia="Times New Roman" w:hAnsiTheme="majorBidi" w:cstheme="majorBidi"/>
          <w:sz w:val="24"/>
          <w:szCs w:val="24"/>
          <w:lang w:val="en-US"/>
        </w:rPr>
        <w:t>, Pakistan</w:t>
      </w:r>
      <w:r w:rsidRPr="00A8664F">
        <w:rPr>
          <w:rFonts w:asciiTheme="majorBidi" w:eastAsia="Times New Roman" w:hAnsiTheme="majorBidi" w:cstheme="majorBidi"/>
          <w:sz w:val="24"/>
          <w:szCs w:val="24"/>
          <w:lang w:val="en-US"/>
        </w:rPr>
        <w:br/>
        <w:t>Email: hazratmaaz38@gmail.com</w:t>
      </w:r>
      <w:r w:rsidRPr="00A8664F">
        <w:rPr>
          <w:rFonts w:asciiTheme="majorBidi" w:eastAsia="Times New Roman" w:hAnsiTheme="majorBidi" w:cstheme="majorBidi"/>
          <w:sz w:val="24"/>
          <w:szCs w:val="24"/>
          <w:lang w:val="en-US"/>
        </w:rPr>
        <w:br/>
        <w:t>ORCID: 0009-0007-0846-8053</w:t>
      </w:r>
    </w:p>
    <w:p w14:paraId="668FFCD5"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Aneeqa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Yaseen</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Services Institute of Medical Sciences, Lahore, Pakistan</w:t>
      </w:r>
      <w:r w:rsidRPr="00A8664F">
        <w:rPr>
          <w:rFonts w:asciiTheme="majorBidi" w:eastAsia="Times New Roman" w:hAnsiTheme="majorBidi" w:cstheme="majorBidi"/>
          <w:sz w:val="24"/>
          <w:szCs w:val="24"/>
          <w:lang w:val="en-US"/>
        </w:rPr>
        <w:br/>
        <w:t>Email: eshayas60@gmail.com</w:t>
      </w:r>
      <w:r w:rsidRPr="00A8664F">
        <w:rPr>
          <w:rFonts w:asciiTheme="majorBidi" w:eastAsia="Times New Roman" w:hAnsiTheme="majorBidi" w:cstheme="majorBidi"/>
          <w:sz w:val="24"/>
          <w:szCs w:val="24"/>
          <w:lang w:val="en-US"/>
        </w:rPr>
        <w:br/>
        <w:t>ORCID: 0009-0004-9751-1065</w:t>
      </w:r>
    </w:p>
    <w:p w14:paraId="3CE36320"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Muhammad </w:t>
      </w:r>
      <w:proofErr w:type="spellStart"/>
      <w:r w:rsidRPr="00A8664F">
        <w:rPr>
          <w:rFonts w:asciiTheme="majorBidi" w:eastAsia="Times New Roman" w:hAnsiTheme="majorBidi" w:cstheme="majorBidi"/>
          <w:sz w:val="24"/>
          <w:szCs w:val="24"/>
          <w:lang w:val="en-US"/>
        </w:rPr>
        <w:t>Rehan</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Zahid</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Sialkot Medical College, Sialkot, Pakistan</w:t>
      </w:r>
      <w:r w:rsidRPr="00A8664F">
        <w:rPr>
          <w:rFonts w:asciiTheme="majorBidi" w:eastAsia="Times New Roman" w:hAnsiTheme="majorBidi" w:cstheme="majorBidi"/>
          <w:sz w:val="24"/>
          <w:szCs w:val="24"/>
          <w:lang w:val="en-US"/>
        </w:rPr>
        <w:br/>
        <w:t>Email: rehanzahid20069@gmail.com</w:t>
      </w:r>
    </w:p>
    <w:p w14:paraId="7A5EA41A"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David </w:t>
      </w:r>
      <w:proofErr w:type="spellStart"/>
      <w:r w:rsidRPr="00A8664F">
        <w:rPr>
          <w:rFonts w:asciiTheme="majorBidi" w:eastAsia="Times New Roman" w:hAnsiTheme="majorBidi" w:cstheme="majorBidi"/>
          <w:sz w:val="24"/>
          <w:szCs w:val="24"/>
          <w:lang w:val="en-US"/>
        </w:rPr>
        <w:t>Woode</w:t>
      </w:r>
      <w:proofErr w:type="spellEnd"/>
      <w:r w:rsidRPr="00A8664F">
        <w:rPr>
          <w:rFonts w:asciiTheme="majorBidi" w:eastAsia="Times New Roman" w:hAnsiTheme="majorBidi" w:cstheme="majorBidi"/>
          <w:sz w:val="24"/>
          <w:szCs w:val="24"/>
          <w:lang w:val="en-US"/>
        </w:rPr>
        <w:t>, MBBS</w:t>
      </w:r>
      <w:r w:rsidRPr="00A8664F">
        <w:rPr>
          <w:rFonts w:asciiTheme="majorBidi" w:eastAsia="Times New Roman" w:hAnsiTheme="majorBidi" w:cstheme="majorBidi"/>
          <w:sz w:val="24"/>
          <w:szCs w:val="24"/>
          <w:lang w:val="en-US"/>
        </w:rPr>
        <w:br/>
        <w:t xml:space="preserve">Xavier University School of Medicine, </w:t>
      </w:r>
      <w:proofErr w:type="spellStart"/>
      <w:r w:rsidRPr="00A8664F">
        <w:rPr>
          <w:rFonts w:asciiTheme="majorBidi" w:eastAsia="Times New Roman" w:hAnsiTheme="majorBidi" w:cstheme="majorBidi"/>
          <w:sz w:val="24"/>
          <w:szCs w:val="24"/>
          <w:lang w:val="en-US"/>
        </w:rPr>
        <w:t>Oranjestad</w:t>
      </w:r>
      <w:proofErr w:type="spellEnd"/>
      <w:r w:rsidRPr="00A8664F">
        <w:rPr>
          <w:rFonts w:asciiTheme="majorBidi" w:eastAsia="Times New Roman" w:hAnsiTheme="majorBidi" w:cstheme="majorBidi"/>
          <w:sz w:val="24"/>
          <w:szCs w:val="24"/>
          <w:lang w:val="en-US"/>
        </w:rPr>
        <w:t>, Aruba</w:t>
      </w:r>
      <w:r w:rsidRPr="00A8664F">
        <w:rPr>
          <w:rFonts w:asciiTheme="majorBidi" w:eastAsia="Times New Roman" w:hAnsiTheme="majorBidi" w:cstheme="majorBidi"/>
          <w:sz w:val="24"/>
          <w:szCs w:val="24"/>
          <w:lang w:val="en-US"/>
        </w:rPr>
        <w:br/>
        <w:t>Email: David@meditorsolutions.com</w:t>
      </w:r>
      <w:r w:rsidRPr="00A8664F">
        <w:rPr>
          <w:rFonts w:asciiTheme="majorBidi" w:eastAsia="Times New Roman" w:hAnsiTheme="majorBidi" w:cstheme="majorBidi"/>
          <w:sz w:val="24"/>
          <w:szCs w:val="24"/>
          <w:lang w:val="en-US"/>
        </w:rPr>
        <w:br/>
        <w:t>ORCID: 0009-0002-3592-1865</w:t>
      </w:r>
    </w:p>
    <w:p w14:paraId="1BCA85B7"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Sumia</w:t>
      </w:r>
      <w:proofErr w:type="spellEnd"/>
      <w:r w:rsidRPr="00A8664F">
        <w:rPr>
          <w:rFonts w:asciiTheme="majorBidi" w:eastAsia="Times New Roman" w:hAnsiTheme="majorBidi" w:cstheme="majorBidi"/>
          <w:sz w:val="24"/>
          <w:szCs w:val="24"/>
          <w:lang w:val="en-US"/>
        </w:rPr>
        <w:t xml:space="preserve"> Fatima, MBBS</w:t>
      </w:r>
      <w:r w:rsidRPr="00A8664F">
        <w:rPr>
          <w:rFonts w:asciiTheme="majorBidi" w:eastAsia="Times New Roman" w:hAnsiTheme="majorBidi" w:cstheme="majorBidi"/>
          <w:sz w:val="24"/>
          <w:szCs w:val="24"/>
          <w:lang w:val="en-US"/>
        </w:rPr>
        <w:br/>
        <w:t>Rawalpindi Medical University, Rawalpindi, Pakistan</w:t>
      </w:r>
      <w:r w:rsidRPr="00A8664F">
        <w:rPr>
          <w:rFonts w:asciiTheme="majorBidi" w:eastAsia="Times New Roman" w:hAnsiTheme="majorBidi" w:cstheme="majorBidi"/>
          <w:sz w:val="24"/>
          <w:szCs w:val="24"/>
          <w:lang w:val="en-US"/>
        </w:rPr>
        <w:br/>
        <w:t>Email: sumiahfatima3@gmail.com</w:t>
      </w:r>
      <w:r w:rsidRPr="00A8664F">
        <w:rPr>
          <w:rFonts w:asciiTheme="majorBidi" w:eastAsia="Times New Roman" w:hAnsiTheme="majorBidi" w:cstheme="majorBidi"/>
          <w:sz w:val="24"/>
          <w:szCs w:val="24"/>
          <w:lang w:val="en-US"/>
        </w:rPr>
        <w:br/>
        <w:t>ORCID: 0000-0002-5450-4787</w:t>
      </w:r>
    </w:p>
    <w:p w14:paraId="43787228" w14:textId="77777777" w:rsidR="00DA641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proofErr w:type="spellStart"/>
      <w:r w:rsidRPr="00A8664F">
        <w:rPr>
          <w:rFonts w:asciiTheme="majorBidi" w:eastAsia="Times New Roman" w:hAnsiTheme="majorBidi" w:cstheme="majorBidi"/>
          <w:sz w:val="24"/>
          <w:szCs w:val="24"/>
          <w:lang w:val="en-US"/>
        </w:rPr>
        <w:t>Muddassir</w:t>
      </w:r>
      <w:proofErr w:type="spellEnd"/>
      <w:r w:rsidRPr="00A8664F">
        <w:rPr>
          <w:rFonts w:asciiTheme="majorBidi" w:eastAsia="Times New Roman" w:hAnsiTheme="majorBidi" w:cstheme="majorBidi"/>
          <w:sz w:val="24"/>
          <w:szCs w:val="24"/>
          <w:lang w:val="en-US"/>
        </w:rPr>
        <w:t xml:space="preserve"> Khalid, MBBS</w:t>
      </w:r>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Nishtar</w:t>
      </w:r>
      <w:proofErr w:type="spellEnd"/>
      <w:r w:rsidRPr="00A8664F">
        <w:rPr>
          <w:rFonts w:asciiTheme="majorBidi" w:eastAsia="Times New Roman" w:hAnsiTheme="majorBidi" w:cstheme="majorBidi"/>
          <w:sz w:val="24"/>
          <w:szCs w:val="24"/>
          <w:lang w:val="en-US"/>
        </w:rPr>
        <w:t xml:space="preserve"> Medical University, Multan, Pakistan</w:t>
      </w:r>
      <w:r w:rsidRPr="00A8664F">
        <w:rPr>
          <w:rFonts w:asciiTheme="majorBidi" w:eastAsia="Times New Roman" w:hAnsiTheme="majorBidi" w:cstheme="majorBidi"/>
          <w:sz w:val="24"/>
          <w:szCs w:val="24"/>
          <w:lang w:val="en-US"/>
        </w:rPr>
        <w:br/>
        <w:t>Email: dr.muddassirkhalid@gmail.com</w:t>
      </w:r>
      <w:r w:rsidRPr="00A8664F">
        <w:rPr>
          <w:rFonts w:asciiTheme="majorBidi" w:eastAsia="Times New Roman" w:hAnsiTheme="majorBidi" w:cstheme="majorBidi"/>
          <w:sz w:val="24"/>
          <w:szCs w:val="24"/>
          <w:lang w:val="en-US"/>
        </w:rPr>
        <w:br/>
        <w:t>ORCID: 0009-0004-0717-2777</w:t>
      </w:r>
    </w:p>
    <w:p w14:paraId="31239AE7" w14:textId="6759A424" w:rsidR="002C1C89" w:rsidRPr="00A8664F" w:rsidRDefault="00DA6419" w:rsidP="00065F60">
      <w:pPr>
        <w:numPr>
          <w:ilvl w:val="0"/>
          <w:numId w:val="5"/>
        </w:numPr>
        <w:spacing w:before="100" w:beforeAutospacing="1"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 xml:space="preserve">Fred </w:t>
      </w:r>
      <w:proofErr w:type="spellStart"/>
      <w:r w:rsidRPr="00A8664F">
        <w:rPr>
          <w:rFonts w:asciiTheme="majorBidi" w:eastAsia="Times New Roman" w:hAnsiTheme="majorBidi" w:cstheme="majorBidi"/>
          <w:sz w:val="24"/>
          <w:szCs w:val="24"/>
          <w:lang w:val="en-US"/>
        </w:rPr>
        <w:t>Segawa</w:t>
      </w:r>
      <w:proofErr w:type="spellEnd"/>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sz w:val="24"/>
          <w:szCs w:val="24"/>
          <w:lang w:val="en-US"/>
        </w:rPr>
        <w:t>MBChB</w:t>
      </w:r>
      <w:proofErr w:type="spellEnd"/>
      <w:r w:rsidRPr="00A8664F">
        <w:rPr>
          <w:rFonts w:asciiTheme="majorBidi" w:eastAsia="Times New Roman" w:hAnsiTheme="majorBidi" w:cstheme="majorBidi"/>
          <w:sz w:val="24"/>
          <w:szCs w:val="24"/>
          <w:lang w:val="en-US"/>
        </w:rPr>
        <w:br/>
      </w:r>
      <w:proofErr w:type="spellStart"/>
      <w:r w:rsidRPr="00A8664F">
        <w:rPr>
          <w:rFonts w:asciiTheme="majorBidi" w:eastAsia="Times New Roman" w:hAnsiTheme="majorBidi" w:cstheme="majorBidi"/>
          <w:sz w:val="24"/>
          <w:szCs w:val="24"/>
          <w:lang w:val="en-US"/>
        </w:rPr>
        <w:t>Makerere</w:t>
      </w:r>
      <w:proofErr w:type="spellEnd"/>
      <w:r w:rsidRPr="00A8664F">
        <w:rPr>
          <w:rFonts w:asciiTheme="majorBidi" w:eastAsia="Times New Roman" w:hAnsiTheme="majorBidi" w:cstheme="majorBidi"/>
          <w:sz w:val="24"/>
          <w:szCs w:val="24"/>
          <w:lang w:val="en-US"/>
        </w:rPr>
        <w:t xml:space="preserve"> University College of Health Sciences, Kampala, Central Region, Uganda</w:t>
      </w:r>
      <w:r w:rsidRPr="00A8664F">
        <w:rPr>
          <w:rFonts w:asciiTheme="majorBidi" w:eastAsia="Times New Roman" w:hAnsiTheme="majorBidi" w:cstheme="majorBidi"/>
          <w:sz w:val="24"/>
          <w:szCs w:val="24"/>
          <w:lang w:val="en-US"/>
        </w:rPr>
        <w:br/>
        <w:t>Email: dr.fredsegawa@gmail.com</w:t>
      </w:r>
      <w:r w:rsidRPr="00A8664F">
        <w:rPr>
          <w:rFonts w:asciiTheme="majorBidi" w:eastAsia="Times New Roman" w:hAnsiTheme="majorBidi" w:cstheme="majorBidi"/>
          <w:sz w:val="24"/>
          <w:szCs w:val="24"/>
          <w:lang w:val="en-US"/>
        </w:rPr>
        <w:br/>
        <w:t>ORCID: 0009-0004-7441-9135</w:t>
      </w:r>
      <w:r w:rsidR="00B53833" w:rsidRPr="00A8664F">
        <w:rPr>
          <w:rFonts w:asciiTheme="majorBidi" w:hAnsiTheme="majorBidi" w:cstheme="majorBidi"/>
          <w:sz w:val="24"/>
          <w:szCs w:val="24"/>
        </w:rPr>
        <w:br w:type="page"/>
      </w:r>
    </w:p>
    <w:p w14:paraId="1D026901" w14:textId="74FAD948" w:rsidR="00345845"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ABSTRACT</w:t>
      </w:r>
    </w:p>
    <w:p w14:paraId="7348E613" w14:textId="77777777" w:rsidR="00345845" w:rsidRPr="00A8664F" w:rsidRDefault="00345845" w:rsidP="00065F60">
      <w:pPr>
        <w:spacing w:after="0" w:line="276" w:lineRule="auto"/>
        <w:jc w:val="both"/>
        <w:rPr>
          <w:rFonts w:asciiTheme="majorBidi" w:hAnsiTheme="majorBidi" w:cstheme="majorBidi"/>
          <w:sz w:val="24"/>
          <w:szCs w:val="24"/>
        </w:rPr>
      </w:pPr>
      <w:r w:rsidRPr="00A8664F">
        <w:rPr>
          <w:rFonts w:asciiTheme="majorBidi" w:hAnsiTheme="majorBidi" w:cstheme="majorBidi"/>
          <w:b/>
          <w:bCs/>
          <w:sz w:val="24"/>
          <w:szCs w:val="24"/>
        </w:rPr>
        <w:t>Background:</w:t>
      </w:r>
      <w:r w:rsidRPr="00A8664F">
        <w:rPr>
          <w:rFonts w:asciiTheme="majorBidi" w:hAnsiTheme="majorBidi" w:cstheme="majorBidi"/>
          <w:sz w:val="24"/>
          <w:szCs w:val="24"/>
        </w:rPr>
        <w:t xml:space="preserve"> </w:t>
      </w:r>
      <w:proofErr w:type="spellStart"/>
      <w:r w:rsidRPr="00A8664F">
        <w:rPr>
          <w:rFonts w:asciiTheme="majorBidi" w:hAnsiTheme="majorBidi" w:cstheme="majorBidi"/>
          <w:sz w:val="24"/>
          <w:szCs w:val="24"/>
        </w:rPr>
        <w:t>Anthracycline</w:t>
      </w:r>
      <w:proofErr w:type="spellEnd"/>
      <w:r w:rsidRPr="00A8664F">
        <w:rPr>
          <w:rFonts w:asciiTheme="majorBidi" w:hAnsiTheme="majorBidi" w:cstheme="majorBidi"/>
          <w:sz w:val="24"/>
          <w:szCs w:val="24"/>
        </w:rPr>
        <w:t xml:space="preserve"> cardiotoxicity remains a major limitation of cancer therapy, while the preventive efficacy of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remains uncertain. We evaluated whether prophylactic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preserves cardiac function and improves clinical outcomes in adults receiving </w:t>
      </w:r>
      <w:proofErr w:type="spellStart"/>
      <w:r w:rsidRPr="00A8664F">
        <w:rPr>
          <w:rFonts w:asciiTheme="majorBidi" w:hAnsiTheme="majorBidi" w:cstheme="majorBidi"/>
          <w:sz w:val="24"/>
          <w:szCs w:val="24"/>
        </w:rPr>
        <w:t>anthracycline</w:t>
      </w:r>
      <w:proofErr w:type="spellEnd"/>
      <w:r w:rsidRPr="00A8664F">
        <w:rPr>
          <w:rFonts w:asciiTheme="majorBidi" w:hAnsiTheme="majorBidi" w:cstheme="majorBidi"/>
          <w:sz w:val="24"/>
          <w:szCs w:val="24"/>
        </w:rPr>
        <w:t>-based chemotherapy.</w:t>
      </w:r>
    </w:p>
    <w:p w14:paraId="4EAF5652" w14:textId="77777777" w:rsidR="00345845" w:rsidRPr="00A8664F" w:rsidRDefault="00345845" w:rsidP="00065F60">
      <w:pPr>
        <w:spacing w:after="0" w:line="276" w:lineRule="auto"/>
        <w:jc w:val="both"/>
        <w:rPr>
          <w:rFonts w:asciiTheme="majorBidi" w:hAnsiTheme="majorBidi" w:cstheme="majorBidi"/>
          <w:sz w:val="24"/>
          <w:szCs w:val="24"/>
        </w:rPr>
      </w:pPr>
    </w:p>
    <w:p w14:paraId="378F6586" w14:textId="77777777" w:rsidR="00345845" w:rsidRPr="00A8664F" w:rsidRDefault="00345845" w:rsidP="00065F60">
      <w:pPr>
        <w:spacing w:after="0" w:line="276" w:lineRule="auto"/>
        <w:jc w:val="both"/>
        <w:rPr>
          <w:rFonts w:asciiTheme="majorBidi" w:hAnsiTheme="majorBidi" w:cstheme="majorBidi"/>
          <w:sz w:val="24"/>
          <w:szCs w:val="24"/>
        </w:rPr>
      </w:pPr>
      <w:r w:rsidRPr="00A8664F">
        <w:rPr>
          <w:rFonts w:asciiTheme="majorBidi" w:hAnsiTheme="majorBidi" w:cstheme="majorBidi"/>
          <w:b/>
          <w:bCs/>
          <w:sz w:val="24"/>
          <w:szCs w:val="24"/>
        </w:rPr>
        <w:t>Methods:</w:t>
      </w:r>
      <w:r w:rsidRPr="00A8664F">
        <w:rPr>
          <w:rFonts w:asciiTheme="majorBidi" w:hAnsiTheme="majorBidi" w:cstheme="majorBidi"/>
          <w:sz w:val="24"/>
          <w:szCs w:val="24"/>
        </w:rPr>
        <w:t xml:space="preserve"> PubMed, Scopus, and ClinicalTrials.gov were searched from inception to July 2026. Randomized and comparative cohort studies evaluating prophylactic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versus placebo, usual care, or no </w:t>
      </w:r>
      <w:proofErr w:type="spellStart"/>
      <w:r w:rsidRPr="00A8664F">
        <w:rPr>
          <w:rFonts w:asciiTheme="majorBidi" w:hAnsiTheme="majorBidi" w:cstheme="majorBidi"/>
          <w:sz w:val="24"/>
          <w:szCs w:val="24"/>
        </w:rPr>
        <w:t>cardioprotective</w:t>
      </w:r>
      <w:proofErr w:type="spellEnd"/>
      <w:r w:rsidRPr="00A8664F">
        <w:rPr>
          <w:rFonts w:asciiTheme="majorBidi" w:hAnsiTheme="majorBidi" w:cstheme="majorBidi"/>
          <w:sz w:val="24"/>
          <w:szCs w:val="24"/>
        </w:rPr>
        <w:t xml:space="preserve"> therapy were eligible. Continuous outcomes were pooled as mean differences (MDs) and mortality as risk ratios (RRs) using random-effects models with REML estimation and </w:t>
      </w:r>
      <w:proofErr w:type="spellStart"/>
      <w:r w:rsidRPr="00A8664F">
        <w:rPr>
          <w:rFonts w:asciiTheme="majorBidi" w:hAnsiTheme="majorBidi" w:cstheme="majorBidi"/>
          <w:sz w:val="24"/>
          <w:szCs w:val="24"/>
        </w:rPr>
        <w:t>Hartung</w:t>
      </w:r>
      <w:proofErr w:type="spellEnd"/>
      <w:r w:rsidRPr="00A8664F">
        <w:rPr>
          <w:rFonts w:asciiTheme="majorBidi" w:hAnsiTheme="majorBidi" w:cstheme="majorBidi"/>
          <w:sz w:val="24"/>
          <w:szCs w:val="24"/>
        </w:rPr>
        <w:t>–Knapp–</w:t>
      </w:r>
      <w:proofErr w:type="spellStart"/>
      <w:r w:rsidRPr="00A8664F">
        <w:rPr>
          <w:rFonts w:asciiTheme="majorBidi" w:hAnsiTheme="majorBidi" w:cstheme="majorBidi"/>
          <w:sz w:val="24"/>
          <w:szCs w:val="24"/>
        </w:rPr>
        <w:t>Sidik</w:t>
      </w:r>
      <w:proofErr w:type="spellEnd"/>
      <w:r w:rsidRPr="00A8664F">
        <w:rPr>
          <w:rFonts w:asciiTheme="majorBidi" w:hAnsiTheme="majorBidi" w:cstheme="majorBidi"/>
          <w:sz w:val="24"/>
          <w:szCs w:val="24"/>
        </w:rPr>
        <w:t>–</w:t>
      </w:r>
      <w:proofErr w:type="spellStart"/>
      <w:r w:rsidRPr="00A8664F">
        <w:rPr>
          <w:rFonts w:asciiTheme="majorBidi" w:hAnsiTheme="majorBidi" w:cstheme="majorBidi"/>
          <w:sz w:val="24"/>
          <w:szCs w:val="24"/>
        </w:rPr>
        <w:t>Jonkman</w:t>
      </w:r>
      <w:proofErr w:type="spellEnd"/>
      <w:r w:rsidRPr="00A8664F">
        <w:rPr>
          <w:rFonts w:asciiTheme="majorBidi" w:hAnsiTheme="majorBidi" w:cstheme="majorBidi"/>
          <w:sz w:val="24"/>
          <w:szCs w:val="24"/>
        </w:rPr>
        <w:t xml:space="preserve"> adjustment. Risk of bias was assessed using </w:t>
      </w:r>
      <w:proofErr w:type="spellStart"/>
      <w:r w:rsidRPr="00A8664F">
        <w:rPr>
          <w:rFonts w:asciiTheme="majorBidi" w:hAnsiTheme="majorBidi" w:cstheme="majorBidi"/>
          <w:sz w:val="24"/>
          <w:szCs w:val="24"/>
        </w:rPr>
        <w:t>RoB</w:t>
      </w:r>
      <w:proofErr w:type="spellEnd"/>
      <w:r w:rsidRPr="00A8664F">
        <w:rPr>
          <w:rFonts w:asciiTheme="majorBidi" w:hAnsiTheme="majorBidi" w:cstheme="majorBidi"/>
          <w:sz w:val="24"/>
          <w:szCs w:val="24"/>
        </w:rPr>
        <w:t xml:space="preserve"> 2 and certainty of evidence using GRADE.</w:t>
      </w:r>
    </w:p>
    <w:p w14:paraId="1336A870" w14:textId="77777777" w:rsidR="00345845" w:rsidRPr="00A8664F" w:rsidRDefault="00345845" w:rsidP="00065F60">
      <w:pPr>
        <w:spacing w:after="0" w:line="276" w:lineRule="auto"/>
        <w:jc w:val="both"/>
        <w:rPr>
          <w:rFonts w:asciiTheme="majorBidi" w:hAnsiTheme="majorBidi" w:cstheme="majorBidi"/>
          <w:sz w:val="24"/>
          <w:szCs w:val="24"/>
        </w:rPr>
      </w:pPr>
    </w:p>
    <w:p w14:paraId="32E89399" w14:textId="77777777" w:rsidR="00345845" w:rsidRPr="00A8664F" w:rsidRDefault="00345845" w:rsidP="00065F60">
      <w:pPr>
        <w:spacing w:after="0" w:line="276" w:lineRule="auto"/>
        <w:jc w:val="both"/>
        <w:rPr>
          <w:rFonts w:asciiTheme="majorBidi" w:hAnsiTheme="majorBidi" w:cstheme="majorBidi"/>
          <w:sz w:val="24"/>
          <w:szCs w:val="24"/>
        </w:rPr>
      </w:pPr>
      <w:r w:rsidRPr="00A8664F">
        <w:rPr>
          <w:rFonts w:asciiTheme="majorBidi" w:hAnsiTheme="majorBidi" w:cstheme="majorBidi"/>
          <w:b/>
          <w:bCs/>
          <w:sz w:val="24"/>
          <w:szCs w:val="24"/>
        </w:rPr>
        <w:t>Results:</w:t>
      </w:r>
      <w:r w:rsidRPr="00A8664F">
        <w:rPr>
          <w:rFonts w:asciiTheme="majorBidi" w:hAnsiTheme="majorBidi" w:cstheme="majorBidi"/>
          <w:sz w:val="24"/>
          <w:szCs w:val="24"/>
        </w:rPr>
        <w:t xml:space="preserve"> Four randomized controlled trials involving 265 participants were included.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did not significantly improve final LVEF (MD 2.13%, 95% CI −2.18 to 6.43; P=0.21; I²=82%), LVEDD (MD −1.60 mm, 95% CI −8.30 to 5.10; I²=84%), LVESD (MD −0.77 mm, 95% CI −4.45 to 2.91; I²=34%), IVRT (MD −0.95 </w:t>
      </w:r>
      <w:proofErr w:type="spellStart"/>
      <w:r w:rsidRPr="00A8664F">
        <w:rPr>
          <w:rFonts w:asciiTheme="majorBidi" w:hAnsiTheme="majorBidi" w:cstheme="majorBidi"/>
          <w:sz w:val="24"/>
          <w:szCs w:val="24"/>
        </w:rPr>
        <w:t>ms</w:t>
      </w:r>
      <w:proofErr w:type="spellEnd"/>
      <w:r w:rsidRPr="00A8664F">
        <w:rPr>
          <w:rFonts w:asciiTheme="majorBidi" w:hAnsiTheme="majorBidi" w:cstheme="majorBidi"/>
          <w:sz w:val="24"/>
          <w:szCs w:val="24"/>
        </w:rPr>
        <w:t>, 95% CI −3.49 to 1.59; I²=0%), or E/A ratio (MD 0.14, 95% CI −0.17 to 0.44; I²=64%). All-cause mortality was also not significantly reduced (RR 0.20, 95% CI 0.01–4.04), with only two deaths reported. Excluding Kaya 2013 reduced LVEF heterogeneity to 0% without altering statistical significance.</w:t>
      </w:r>
    </w:p>
    <w:p w14:paraId="1F73364A" w14:textId="77777777" w:rsidR="00345845" w:rsidRPr="00A8664F" w:rsidRDefault="00345845" w:rsidP="00065F60">
      <w:pPr>
        <w:spacing w:after="0" w:line="276" w:lineRule="auto"/>
        <w:jc w:val="both"/>
        <w:rPr>
          <w:rFonts w:asciiTheme="majorBidi" w:hAnsiTheme="majorBidi" w:cstheme="majorBidi"/>
          <w:sz w:val="24"/>
          <w:szCs w:val="24"/>
        </w:rPr>
      </w:pPr>
    </w:p>
    <w:p w14:paraId="59C2C4C7" w14:textId="77777777" w:rsidR="006E4EBE" w:rsidRPr="00A8664F" w:rsidRDefault="00345845" w:rsidP="00065F60">
      <w:pPr>
        <w:spacing w:after="0" w:line="276" w:lineRule="auto"/>
        <w:rPr>
          <w:rFonts w:asciiTheme="majorBidi" w:eastAsia="Times New Roman" w:hAnsiTheme="majorBidi" w:cstheme="majorBidi"/>
          <w:b/>
          <w:bCs/>
          <w:color w:val="000000"/>
          <w:sz w:val="24"/>
          <w:szCs w:val="24"/>
        </w:rPr>
      </w:pPr>
      <w:r w:rsidRPr="00A8664F">
        <w:rPr>
          <w:rFonts w:asciiTheme="majorBidi" w:hAnsiTheme="majorBidi" w:cstheme="majorBidi"/>
          <w:b/>
          <w:bCs/>
          <w:sz w:val="24"/>
          <w:szCs w:val="24"/>
        </w:rPr>
        <w:t>Conclusions:</w:t>
      </w:r>
      <w:r w:rsidRPr="00A8664F">
        <w:rPr>
          <w:rFonts w:asciiTheme="majorBidi" w:hAnsiTheme="majorBidi" w:cstheme="majorBidi"/>
          <w:sz w:val="24"/>
          <w:szCs w:val="24"/>
        </w:rPr>
        <w:t xml:space="preserve"> Prophylactic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showed a possible </w:t>
      </w:r>
      <w:proofErr w:type="spellStart"/>
      <w:r w:rsidRPr="00A8664F">
        <w:rPr>
          <w:rFonts w:asciiTheme="majorBidi" w:hAnsiTheme="majorBidi" w:cstheme="majorBidi"/>
          <w:sz w:val="24"/>
          <w:szCs w:val="24"/>
        </w:rPr>
        <w:t>cardioprotective</w:t>
      </w:r>
      <w:proofErr w:type="spellEnd"/>
      <w:r w:rsidRPr="00A8664F">
        <w:rPr>
          <w:rFonts w:asciiTheme="majorBidi" w:hAnsiTheme="majorBidi" w:cstheme="majorBidi"/>
          <w:sz w:val="24"/>
          <w:szCs w:val="24"/>
        </w:rPr>
        <w:t xml:space="preserve"> signal but no definitive benefit across systolic, diastolic, structural, or mortality outcomes. Larger, adequately powered trials with standardized regimens and clinically meaningful endpoints are needed.</w:t>
      </w:r>
      <w:r w:rsidRPr="00A8664F">
        <w:rPr>
          <w:rFonts w:asciiTheme="majorBidi" w:hAnsiTheme="majorBidi" w:cstheme="majorBidi"/>
          <w:sz w:val="24"/>
          <w:szCs w:val="24"/>
        </w:rPr>
        <w:br w:type="page"/>
      </w:r>
    </w:p>
    <w:p w14:paraId="2003F291" w14:textId="77777777" w:rsidR="006E4EBE" w:rsidRPr="00A8664F" w:rsidRDefault="006E4EBE"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 xml:space="preserve">Keywords: </w:t>
      </w:r>
      <w:r w:rsidRPr="00A8664F">
        <w:rPr>
          <w:rFonts w:asciiTheme="majorBidi" w:eastAsia="Times New Roman" w:hAnsiTheme="majorBidi" w:cstheme="majorBidi"/>
          <w:color w:val="000000"/>
          <w:sz w:val="24"/>
          <w:szCs w:val="24"/>
        </w:rPr>
        <w:t xml:space="preserve">Cardiotoxicity;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-induced cardiotoxicity; Cancer-therapy induced cardiotoxicity;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Cancer</w:t>
      </w:r>
    </w:p>
    <w:p w14:paraId="467C59E7" w14:textId="527D6A35"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2B91DF6A" w14:textId="77777777" w:rsidR="002C1C89" w:rsidRPr="00A8664F" w:rsidRDefault="00110E0D" w:rsidP="00065F60">
      <w:pPr>
        <w:numPr>
          <w:ilvl w:val="0"/>
          <w:numId w:val="1"/>
        </w:numPr>
        <w:spacing w:after="0" w:line="276" w:lineRule="auto"/>
        <w:jc w:val="both"/>
        <w:rPr>
          <w:rFonts w:asciiTheme="majorBidi" w:eastAsia="Times New Roman" w:hAnsiTheme="majorBidi" w:cstheme="majorBidi"/>
          <w:b/>
          <w:bCs/>
          <w:sz w:val="24"/>
          <w:szCs w:val="24"/>
        </w:rPr>
      </w:pPr>
      <w:r w:rsidRPr="00A8664F">
        <w:rPr>
          <w:rFonts w:asciiTheme="majorBidi" w:eastAsia="Times New Roman" w:hAnsiTheme="majorBidi" w:cstheme="majorBidi"/>
          <w:b/>
          <w:bCs/>
          <w:sz w:val="24"/>
          <w:szCs w:val="24"/>
        </w:rPr>
        <w:t>Introduction</w:t>
      </w:r>
    </w:p>
    <w:p w14:paraId="1634BFF3" w14:textId="238564F0" w:rsidR="002C1C89" w:rsidRPr="00A8664F" w:rsidRDefault="00110E0D" w:rsidP="00065F60">
      <w:pPr>
        <w:spacing w:after="0" w:line="276" w:lineRule="auto"/>
        <w:jc w:val="both"/>
        <w:rPr>
          <w:rFonts w:asciiTheme="majorBidi" w:eastAsia="Times New Roman" w:hAnsiTheme="majorBidi" w:cstheme="majorBidi"/>
          <w:sz w:val="24"/>
          <w:szCs w:val="24"/>
        </w:rPr>
      </w:pPr>
      <w:proofErr w:type="spellStart"/>
      <w:r w:rsidRPr="00A8664F">
        <w:rPr>
          <w:rFonts w:asciiTheme="majorBidi" w:eastAsia="Times New Roman" w:hAnsiTheme="majorBidi" w:cstheme="majorBidi"/>
          <w:sz w:val="24"/>
          <w:szCs w:val="24"/>
        </w:rPr>
        <w:t>Anthracyclines</w:t>
      </w:r>
      <w:proofErr w:type="spellEnd"/>
      <w:r w:rsidRPr="00A8664F">
        <w:rPr>
          <w:rFonts w:asciiTheme="majorBidi" w:eastAsia="Times New Roman" w:hAnsiTheme="majorBidi" w:cstheme="majorBidi"/>
          <w:sz w:val="24"/>
          <w:szCs w:val="24"/>
        </w:rPr>
        <w:t xml:space="preserve">, including doxorubicin and </w:t>
      </w:r>
      <w:proofErr w:type="spellStart"/>
      <w:r w:rsidRPr="00A8664F">
        <w:rPr>
          <w:rFonts w:asciiTheme="majorBidi" w:eastAsia="Times New Roman" w:hAnsiTheme="majorBidi" w:cstheme="majorBidi"/>
          <w:sz w:val="24"/>
          <w:szCs w:val="24"/>
        </w:rPr>
        <w:t>epirubicin</w:t>
      </w:r>
      <w:proofErr w:type="spellEnd"/>
      <w:r w:rsidRPr="00A8664F">
        <w:rPr>
          <w:rFonts w:asciiTheme="majorBidi" w:eastAsia="Times New Roman" w:hAnsiTheme="majorBidi" w:cstheme="majorBidi"/>
          <w:sz w:val="24"/>
          <w:szCs w:val="24"/>
        </w:rPr>
        <w:t xml:space="preserve">, remain an important component of chemotherapy regimens for a wide range of adult malignancies, particularly hematological and solid tumors. Despite their established antineoplastic efficacy, their clinical use is limited by the risk of treatment-related cardiovascular toxicity.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-induced cardiotoxicity may manifest as subclinical myocardial injury, asymptomatic left ventricular systolic dysfunction, or overt heart failure, potentially resulting in long-term morbidity and mortality among cancer survivors. The risk is influenced by cumulative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 exposure as well as patient- and treatment-related factors</w:t>
      </w:r>
      <w:r w:rsidR="00263AE9" w:rsidRPr="00A8664F">
        <w:rPr>
          <w:rFonts w:asciiTheme="majorBidi" w:eastAsia="Times New Roman" w:hAnsiTheme="majorBidi" w:cstheme="majorBidi"/>
          <w:sz w:val="24"/>
          <w:szCs w:val="24"/>
        </w:rPr>
        <w:t xml:space="preserve"> (1,2)</w:t>
      </w:r>
      <w:r w:rsidRPr="00A8664F">
        <w:rPr>
          <w:rFonts w:asciiTheme="majorBidi" w:eastAsia="Times New Roman" w:hAnsiTheme="majorBidi" w:cstheme="majorBidi"/>
          <w:sz w:val="24"/>
          <w:szCs w:val="24"/>
        </w:rPr>
        <w:t>.</w:t>
      </w:r>
    </w:p>
    <w:p w14:paraId="00B489F9" w14:textId="49B96F32"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The pathophysiology of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-induced cardiotoxicity is complex and involves oxidative stress, mitochondrial dysfunction, disruption of myocardial energetics, endothelial injury, disruption of myocardial contractile function and </w:t>
      </w:r>
      <w:proofErr w:type="spellStart"/>
      <w:r w:rsidRPr="00A8664F">
        <w:rPr>
          <w:rFonts w:asciiTheme="majorBidi" w:eastAsia="Times New Roman" w:hAnsiTheme="majorBidi" w:cstheme="majorBidi"/>
          <w:sz w:val="24"/>
          <w:szCs w:val="24"/>
        </w:rPr>
        <w:t>cardiomyocyte</w:t>
      </w:r>
      <w:proofErr w:type="spellEnd"/>
      <w:r w:rsidRPr="00A8664F">
        <w:rPr>
          <w:rFonts w:asciiTheme="majorBidi" w:eastAsia="Times New Roman" w:hAnsiTheme="majorBidi" w:cstheme="majorBidi"/>
          <w:sz w:val="24"/>
          <w:szCs w:val="24"/>
        </w:rPr>
        <w:t xml:space="preserve"> damage. Because cardiac injury may develop during chemotherapy or become clinically apparent later, prevention and early </w:t>
      </w:r>
      <w:r w:rsidR="00FF40AC" w:rsidRPr="00A8664F">
        <w:rPr>
          <w:rFonts w:asciiTheme="majorBidi" w:eastAsia="Times New Roman" w:hAnsiTheme="majorBidi" w:cstheme="majorBidi"/>
          <w:sz w:val="24"/>
          <w:szCs w:val="24"/>
        </w:rPr>
        <w:t>cardio protection</w:t>
      </w:r>
      <w:r w:rsidRPr="00A8664F">
        <w:rPr>
          <w:rFonts w:asciiTheme="majorBidi" w:eastAsia="Times New Roman" w:hAnsiTheme="majorBidi" w:cstheme="majorBidi"/>
          <w:sz w:val="24"/>
          <w:szCs w:val="24"/>
        </w:rPr>
        <w:t xml:space="preserve"> are important components of modern cardio-oncology. Several pharmacological strategies have therefore been investigated, including </w:t>
      </w:r>
      <w:proofErr w:type="spellStart"/>
      <w:r w:rsidRPr="00A8664F">
        <w:rPr>
          <w:rFonts w:asciiTheme="majorBidi" w:eastAsia="Times New Roman" w:hAnsiTheme="majorBidi" w:cstheme="majorBidi"/>
          <w:sz w:val="24"/>
          <w:szCs w:val="24"/>
        </w:rPr>
        <w:t>dexrazoxane</w:t>
      </w:r>
      <w:proofErr w:type="spellEnd"/>
      <w:r w:rsidRPr="00A8664F">
        <w:rPr>
          <w:rFonts w:asciiTheme="majorBidi" w:eastAsia="Times New Roman" w:hAnsiTheme="majorBidi" w:cstheme="majorBidi"/>
          <w:sz w:val="24"/>
          <w:szCs w:val="24"/>
        </w:rPr>
        <w:t xml:space="preserve">, renin–angiotensin–aldosterone system inhibitors, statins, and β-adrenergic </w:t>
      </w:r>
      <w:r w:rsidR="00FF40AC" w:rsidRPr="00A8664F">
        <w:rPr>
          <w:rFonts w:asciiTheme="majorBidi" w:eastAsia="Times New Roman" w:hAnsiTheme="majorBidi" w:cstheme="majorBidi"/>
          <w:sz w:val="24"/>
          <w:szCs w:val="24"/>
        </w:rPr>
        <w:t>blockers. However</w:t>
      </w:r>
      <w:r w:rsidRPr="00A8664F">
        <w:rPr>
          <w:rFonts w:asciiTheme="majorBidi" w:eastAsia="Times New Roman" w:hAnsiTheme="majorBidi" w:cstheme="majorBidi"/>
          <w:sz w:val="24"/>
          <w:szCs w:val="24"/>
        </w:rPr>
        <w:t>, the effectiveness of these interventions has varied across studies, and the clinical significance of preserving surrogate measures such as left ventricular ejection fraction (LVEF) remains an area of ongoing investigation</w:t>
      </w:r>
      <w:r w:rsidR="00263AE9" w:rsidRPr="00A8664F">
        <w:rPr>
          <w:rFonts w:asciiTheme="majorBidi" w:eastAsia="Times New Roman" w:hAnsiTheme="majorBidi" w:cstheme="majorBidi"/>
          <w:sz w:val="24"/>
          <w:szCs w:val="24"/>
        </w:rPr>
        <w:t xml:space="preserve"> (2-5)</w:t>
      </w:r>
      <w:r w:rsidRPr="00A8664F">
        <w:rPr>
          <w:rFonts w:asciiTheme="majorBidi" w:eastAsia="Times New Roman" w:hAnsiTheme="majorBidi" w:cstheme="majorBidi"/>
          <w:sz w:val="24"/>
          <w:szCs w:val="24"/>
        </w:rPr>
        <w:t>.</w:t>
      </w:r>
    </w:p>
    <w:p w14:paraId="291DCDE1" w14:textId="5BCE83BE"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β-blockers have attracted particular interest because of their potential ability to attenuate sympathetic activation and protect the myocardium from chemotherapy-associated injury. Previous systematic reviews and meta-analyses of β-blockers have suggested a possible preservation of left ventricular ejection fraction (LVEF), reduction in ventricular remodeling, and attenuation of myocardial injury. Nevertheless, the magnitude and clinical relevance of these effects have varied substantially between studies. An updated meta-analysis </w:t>
      </w:r>
      <w:r w:rsidR="00FF40AC" w:rsidRPr="00A8664F">
        <w:rPr>
          <w:rFonts w:asciiTheme="majorBidi" w:eastAsia="Times New Roman" w:hAnsiTheme="majorBidi" w:cstheme="majorBidi"/>
          <w:sz w:val="24"/>
          <w:szCs w:val="24"/>
        </w:rPr>
        <w:t>of randomized</w:t>
      </w:r>
      <w:r w:rsidRPr="00A8664F">
        <w:rPr>
          <w:rFonts w:asciiTheme="majorBidi" w:eastAsia="Times New Roman" w:hAnsiTheme="majorBidi" w:cstheme="majorBidi"/>
          <w:sz w:val="24"/>
          <w:szCs w:val="24"/>
        </w:rPr>
        <w:t xml:space="preserve"> trials involving different β-blockers found that β-blocker therapy was associated with a smaller reduction in LVEF following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 treatment; however, the reduction in clinically defined cancer therapy-related cardiac dysfunction was not statistically significant. Importantly, these analyses combined several beta-blockers, including carvedilol, </w:t>
      </w:r>
      <w:proofErr w:type="spellStart"/>
      <w:r w:rsidRPr="00A8664F">
        <w:rPr>
          <w:rFonts w:asciiTheme="majorBidi" w:eastAsia="Times New Roman" w:hAnsiTheme="majorBidi" w:cstheme="majorBidi"/>
          <w:sz w:val="24"/>
          <w:szCs w:val="24"/>
        </w:rPr>
        <w:t>bisoprolol</w:t>
      </w:r>
      <w:proofErr w:type="spellEnd"/>
      <w:r w:rsidRPr="00A8664F">
        <w:rPr>
          <w:rFonts w:asciiTheme="majorBidi" w:eastAsia="Times New Roman" w:hAnsiTheme="majorBidi" w:cstheme="majorBidi"/>
          <w:sz w:val="24"/>
          <w:szCs w:val="24"/>
        </w:rPr>
        <w:t xml:space="preserve">, </w:t>
      </w:r>
      <w:proofErr w:type="spellStart"/>
      <w:r w:rsidRPr="00A8664F">
        <w:rPr>
          <w:rFonts w:asciiTheme="majorBidi" w:eastAsia="Times New Roman" w:hAnsiTheme="majorBidi" w:cstheme="majorBidi"/>
          <w:sz w:val="24"/>
          <w:szCs w:val="24"/>
        </w:rPr>
        <w:t>metoprolol</w:t>
      </w:r>
      <w:proofErr w:type="spellEnd"/>
      <w:r w:rsidRPr="00A8664F">
        <w:rPr>
          <w:rFonts w:asciiTheme="majorBidi" w:eastAsia="Times New Roman" w:hAnsiTheme="majorBidi" w:cstheme="majorBidi"/>
          <w:sz w:val="24"/>
          <w:szCs w:val="24"/>
        </w:rPr>
        <w:t xml:space="preserve">, and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potentially obscuring drug-specific differences in efficacy.</w:t>
      </w:r>
    </w:p>
    <w:p w14:paraId="777001F5" w14:textId="2D45E5EC" w:rsidR="002C1C89" w:rsidRPr="00A8664F" w:rsidRDefault="00110E0D" w:rsidP="00065F60">
      <w:pPr>
        <w:spacing w:after="0" w:line="276" w:lineRule="auto"/>
        <w:jc w:val="both"/>
        <w:rPr>
          <w:rFonts w:asciiTheme="majorBidi" w:eastAsia="Times New Roman" w:hAnsiTheme="majorBidi" w:cstheme="majorBidi"/>
          <w:sz w:val="24"/>
          <w:szCs w:val="24"/>
        </w:rPr>
      </w:pP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is a third </w:t>
      </w:r>
      <w:r w:rsidR="00FF40AC" w:rsidRPr="00A8664F">
        <w:rPr>
          <w:rFonts w:asciiTheme="majorBidi" w:eastAsia="Times New Roman" w:hAnsiTheme="majorBidi" w:cstheme="majorBidi"/>
          <w:sz w:val="24"/>
          <w:szCs w:val="24"/>
        </w:rPr>
        <w:t>generation, highly</w:t>
      </w:r>
      <w:r w:rsidRPr="00A8664F">
        <w:rPr>
          <w:rFonts w:asciiTheme="majorBidi" w:eastAsia="Times New Roman" w:hAnsiTheme="majorBidi" w:cstheme="majorBidi"/>
          <w:sz w:val="24"/>
          <w:szCs w:val="24"/>
        </w:rPr>
        <w:t xml:space="preserve"> selective β1-adrenergic receptor blocker with additional nitric oxide-mediated </w:t>
      </w:r>
      <w:proofErr w:type="spellStart"/>
      <w:r w:rsidRPr="00A8664F">
        <w:rPr>
          <w:rFonts w:asciiTheme="majorBidi" w:eastAsia="Times New Roman" w:hAnsiTheme="majorBidi" w:cstheme="majorBidi"/>
          <w:sz w:val="24"/>
          <w:szCs w:val="24"/>
        </w:rPr>
        <w:t>vasodilatory</w:t>
      </w:r>
      <w:proofErr w:type="spellEnd"/>
      <w:r w:rsidRPr="00A8664F">
        <w:rPr>
          <w:rFonts w:asciiTheme="majorBidi" w:eastAsia="Times New Roman" w:hAnsiTheme="majorBidi" w:cstheme="majorBidi"/>
          <w:sz w:val="24"/>
          <w:szCs w:val="24"/>
        </w:rPr>
        <w:t xml:space="preserve"> properties, distinguishing it pharmacologically from several other β-</w:t>
      </w:r>
      <w:r w:rsidR="00FF40AC" w:rsidRPr="00A8664F">
        <w:rPr>
          <w:rFonts w:asciiTheme="majorBidi" w:eastAsia="Times New Roman" w:hAnsiTheme="majorBidi" w:cstheme="majorBidi"/>
          <w:sz w:val="24"/>
          <w:szCs w:val="24"/>
        </w:rPr>
        <w:t>blockers. Its</w:t>
      </w:r>
      <w:r w:rsidRPr="00A8664F">
        <w:rPr>
          <w:rFonts w:asciiTheme="majorBidi" w:eastAsia="Times New Roman" w:hAnsiTheme="majorBidi" w:cstheme="majorBidi"/>
          <w:sz w:val="24"/>
          <w:szCs w:val="24"/>
        </w:rPr>
        <w:t xml:space="preserve"> pharmacological profile provides </w:t>
      </w:r>
      <w:r w:rsidR="00FF40AC" w:rsidRPr="00A8664F">
        <w:rPr>
          <w:rFonts w:asciiTheme="majorBidi" w:eastAsia="Times New Roman" w:hAnsiTheme="majorBidi" w:cstheme="majorBidi"/>
          <w:sz w:val="24"/>
          <w:szCs w:val="24"/>
        </w:rPr>
        <w:t>cardio protection</w:t>
      </w:r>
      <w:r w:rsidRPr="00A8664F">
        <w:rPr>
          <w:rFonts w:asciiTheme="majorBidi" w:eastAsia="Times New Roman" w:hAnsiTheme="majorBidi" w:cstheme="majorBidi"/>
          <w:sz w:val="24"/>
          <w:szCs w:val="24"/>
        </w:rPr>
        <w:t xml:space="preserve"> during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 therapy, as nitric oxide-mediated effects, antioxidant activity, endothelial protection, and preservation of myocardial and mitochondrial function may counteract pathways implicated in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-related cardiac injury. These properties provide a biological rationale for investigating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specifically as a preventive intervention against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-associated cardiotoxicity. Preclinical and clinical evidence has suggested potential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effects of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although the available clinical studies have generally been small and have used different methods and definitions for detecting cardiotoxicity.</w:t>
      </w:r>
    </w:p>
    <w:p w14:paraId="1F081BD0" w14:textId="147EE45B"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Clinical evidence specifically evaluating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in this setting, however, remains limited. A prospective randomized study of 60 women receiving doxorubicin reported that patients receiving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5 mg daily during chemotherapy had less evidence of deterioration in systolic and diastolic myocardial function when assessed using tissue Doppler and speckle-tracking echocardiography. The investigators concluded that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appeared to prevent short-term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-associated cardiomyopathy, while emphasizing the need for larger studies and longer follow-up</w:t>
      </w:r>
      <w:r w:rsidR="00263AE9" w:rsidRPr="00A8664F">
        <w:rPr>
          <w:rFonts w:asciiTheme="majorBidi" w:eastAsia="Times New Roman" w:hAnsiTheme="majorBidi" w:cstheme="majorBidi"/>
          <w:sz w:val="24"/>
          <w:szCs w:val="24"/>
        </w:rPr>
        <w:t xml:space="preserve"> (15)</w:t>
      </w:r>
      <w:r w:rsidRPr="00A8664F">
        <w:rPr>
          <w:rFonts w:asciiTheme="majorBidi" w:eastAsia="Times New Roman" w:hAnsiTheme="majorBidi" w:cstheme="majorBidi"/>
          <w:sz w:val="24"/>
          <w:szCs w:val="24"/>
        </w:rPr>
        <w:t>.</w:t>
      </w:r>
    </w:p>
    <w:p w14:paraId="151FC9EA" w14:textId="35387095"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More recently, the CONTROL trial was designed to provide more rigorous evidence regarding the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effects of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This randomized, placebo-controlled, double-blind trial enrolled patients with breast cancer or diffuse large B-cell lymphoma who had normal baseline cardiac function and were scheduled to receive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-based chemotherapy. Participants were randomized to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5 mg once daily or placebo, with cardiac assessment including echocardiography, biomarkers, and cardiac magnetic resonance imaging. The primary endpoint was the change in LVEF assessed by cardiac magnetic resonance after 12 months. The trial was registered on ClinicalTrials.gov as NCT05728632</w:t>
      </w:r>
      <w:r w:rsidR="00263AE9" w:rsidRPr="00A8664F">
        <w:rPr>
          <w:rFonts w:asciiTheme="majorBidi" w:eastAsia="Times New Roman" w:hAnsiTheme="majorBidi" w:cstheme="majorBidi"/>
          <w:sz w:val="24"/>
          <w:szCs w:val="24"/>
        </w:rPr>
        <w:t xml:space="preserve"> (18)</w:t>
      </w:r>
      <w:r w:rsidRPr="00A8664F">
        <w:rPr>
          <w:rFonts w:asciiTheme="majorBidi" w:eastAsia="Times New Roman" w:hAnsiTheme="majorBidi" w:cstheme="majorBidi"/>
          <w:sz w:val="24"/>
          <w:szCs w:val="24"/>
        </w:rPr>
        <w:t>.</w:t>
      </w:r>
    </w:p>
    <w:p w14:paraId="7F91D731" w14:textId="2E6FF605"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Although previous systematic reviews have evaluated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drugs collectively or β-blockers as a class, these approaches may obscure potential differences between individual β-blockers. For example, previous evidence has reported favorable findings for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in some clinical trials, whereas other analyses have suggested greater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effects with carvedilol or other β-blockers. This heterogeneity, together with differences in patient populations, chemotherapy regimens, cardiac imaging methods, and definitions of cardiotoxicity, makes the specific efficacy and safety of prophylactic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uncertain. Existing meta-analyses have predominantly evaluated beta-blockers as a heterogeneous therapeutic class or have combined multiple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agents, rather than systematically examining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as an individual intervention. More recent network meta-analytic evidence has suggested that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may have favorable effects on diastolic function compared with other \beta-blockers, but the broader evidence base remains heterogeneous and includes different patient populations,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 regimens, follow-up periods, imaging modalities, and definitions of cardiotoxicity.</w:t>
      </w:r>
      <w:r w:rsidR="00263AE9" w:rsidRPr="00A8664F">
        <w:rPr>
          <w:rFonts w:asciiTheme="majorBidi" w:eastAsia="Times New Roman" w:hAnsiTheme="majorBidi" w:cstheme="majorBidi"/>
          <w:sz w:val="24"/>
          <w:szCs w:val="24"/>
        </w:rPr>
        <w:t xml:space="preserve"> (11-14)</w:t>
      </w:r>
    </w:p>
    <w:p w14:paraId="18F9740E" w14:textId="77777777"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Furthermore, the existing evidence base has continued to evolve, with newer randomized evidence and registered clinical trials becoming available after earlier systematic reviews. The ClinicalTrials.gov registry demonstrates ongoing interest in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as a primary preventive strategy, while recent evidence syntheses continue to highlight uncertainty regarding the optimal β-blocker and the clinical significance of changes in surrogate cardiac endpoints.</w:t>
      </w:r>
    </w:p>
    <w:p w14:paraId="34E5FD4D" w14:textId="77777777" w:rsidR="002C1C89" w:rsidRPr="00A8664F" w:rsidRDefault="00110E0D" w:rsidP="00065F60">
      <w:pPr>
        <w:spacing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Therefore, a focused systematic review and meta-analysis of available clinical evidence is warranted to determine whether prophylactic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reduces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-induced cardiotoxicity in adults receiving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-based chemotherapy. By specifically evaluating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against placebo, usual care, or no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treatment, this study aims to provide a more precise estimate of its effects on cardiac function and clinically relevant cardiovascular outcomes, while also assessing adverse effects and the consistency of findings across different cancer populations and study designs. Such evidence may help clarify the role of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in contemporary cardio-oncology and determine whether its routine prophylactic use is justified in patients exposed to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 chemotherapy.</w:t>
      </w:r>
    </w:p>
    <w:p w14:paraId="76333FFF" w14:textId="77777777" w:rsidR="002C1C89" w:rsidRPr="00A8664F" w:rsidRDefault="002C1C89" w:rsidP="00065F60">
      <w:pPr>
        <w:spacing w:after="0" w:line="276" w:lineRule="auto"/>
        <w:jc w:val="both"/>
        <w:rPr>
          <w:rFonts w:asciiTheme="majorBidi" w:eastAsia="Times New Roman" w:hAnsiTheme="majorBidi" w:cstheme="majorBidi"/>
          <w:sz w:val="24"/>
          <w:szCs w:val="24"/>
        </w:rPr>
      </w:pPr>
    </w:p>
    <w:p w14:paraId="272B0F5A" w14:textId="77777777" w:rsidR="002C1C89" w:rsidRPr="00A8664F" w:rsidRDefault="00110E0D" w:rsidP="00065F60">
      <w:pPr>
        <w:pStyle w:val="Heading2"/>
        <w:numPr>
          <w:ilvl w:val="0"/>
          <w:numId w:val="1"/>
        </w:numPr>
        <w:spacing w:line="276" w:lineRule="auto"/>
        <w:jc w:val="both"/>
        <w:rPr>
          <w:rFonts w:asciiTheme="majorBidi" w:hAnsiTheme="majorBidi" w:cstheme="majorBidi"/>
          <w:b/>
          <w:bCs/>
          <w:color w:val="000000"/>
          <w:sz w:val="24"/>
          <w:szCs w:val="24"/>
        </w:rPr>
      </w:pPr>
      <w:r w:rsidRPr="00A8664F">
        <w:rPr>
          <w:rFonts w:asciiTheme="majorBidi" w:hAnsiTheme="majorBidi" w:cstheme="majorBidi"/>
          <w:b/>
          <w:bCs/>
          <w:color w:val="000000"/>
          <w:sz w:val="24"/>
          <w:szCs w:val="24"/>
        </w:rPr>
        <w:t>Methods</w:t>
      </w:r>
    </w:p>
    <w:p w14:paraId="39F8B0F5" w14:textId="77777777" w:rsidR="002C1C89" w:rsidRPr="00A8664F" w:rsidRDefault="002C1C89" w:rsidP="00065F60">
      <w:pPr>
        <w:spacing w:after="0" w:line="276" w:lineRule="auto"/>
        <w:jc w:val="both"/>
        <w:rPr>
          <w:rFonts w:asciiTheme="majorBidi" w:hAnsiTheme="majorBidi" w:cstheme="majorBidi"/>
          <w:sz w:val="24"/>
          <w:szCs w:val="24"/>
        </w:rPr>
      </w:pPr>
    </w:p>
    <w:p w14:paraId="14A988DD" w14:textId="1B0DE852"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This systematic review and meta-analysis followed the guidance outlined in the Cochrane Handbook for Systematic Reviews of Interventions and the Preferred Reporting Items for Systematic Reviews and Meta-Analyses (PRISMA) guidelines (Supplementary Table S1). The protocol for this systematic review was registered at the PROSPERO International Prospective Register of Systematic Reviews.</w:t>
      </w:r>
    </w:p>
    <w:p w14:paraId="43A6EAF8" w14:textId="77777777" w:rsidR="00263AE9" w:rsidRPr="00A8664F" w:rsidRDefault="00263AE9" w:rsidP="00065F60">
      <w:pPr>
        <w:spacing w:after="0" w:line="276" w:lineRule="auto"/>
        <w:jc w:val="both"/>
        <w:rPr>
          <w:rFonts w:asciiTheme="majorBidi" w:eastAsia="Times New Roman" w:hAnsiTheme="majorBidi" w:cstheme="majorBidi"/>
          <w:color w:val="000000"/>
          <w:sz w:val="24"/>
          <w:szCs w:val="24"/>
        </w:rPr>
      </w:pPr>
    </w:p>
    <w:p w14:paraId="46F4424D" w14:textId="77777777" w:rsidR="002C1C89" w:rsidRPr="00A8664F" w:rsidRDefault="00110E0D" w:rsidP="00065F60">
      <w:pPr>
        <w:pStyle w:val="Heading2"/>
        <w:spacing w:line="276" w:lineRule="auto"/>
        <w:jc w:val="both"/>
        <w:rPr>
          <w:rFonts w:asciiTheme="majorBidi" w:hAnsiTheme="majorBidi" w:cstheme="majorBidi"/>
          <w:b/>
          <w:bCs/>
          <w:i/>
          <w:iCs/>
          <w:color w:val="000000"/>
          <w:sz w:val="24"/>
          <w:szCs w:val="24"/>
        </w:rPr>
      </w:pPr>
      <w:r w:rsidRPr="00A8664F">
        <w:rPr>
          <w:rFonts w:asciiTheme="majorBidi" w:hAnsiTheme="majorBidi" w:cstheme="majorBidi"/>
          <w:b/>
          <w:bCs/>
          <w:i/>
          <w:iCs/>
          <w:color w:val="000000"/>
          <w:sz w:val="24"/>
          <w:szCs w:val="24"/>
        </w:rPr>
        <w:t>2.1 Databases and search strategy</w:t>
      </w:r>
    </w:p>
    <w:p w14:paraId="23A070C5" w14:textId="77777777" w:rsidR="002C1C89" w:rsidRPr="00A8664F" w:rsidRDefault="002C1C89" w:rsidP="00065F60">
      <w:pPr>
        <w:spacing w:after="0" w:line="276" w:lineRule="auto"/>
        <w:jc w:val="both"/>
        <w:rPr>
          <w:rFonts w:asciiTheme="majorBidi" w:hAnsiTheme="majorBidi" w:cstheme="majorBidi"/>
          <w:sz w:val="24"/>
          <w:szCs w:val="24"/>
        </w:rPr>
      </w:pPr>
    </w:p>
    <w:p w14:paraId="12C24020" w14:textId="6D38180C" w:rsidR="00FF40AC"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Relevant studies were selected using the PubMed, Scopus, and ClinicalTrials.gov databases, starting from inception to July 2026, with no limitation regarding publication date. The combination of search terms used was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OR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hydrochloride" OR "</w:t>
      </w:r>
      <w:proofErr w:type="spellStart"/>
      <w:r w:rsidRPr="00A8664F">
        <w:rPr>
          <w:rFonts w:asciiTheme="majorBidi" w:eastAsia="Times New Roman" w:hAnsiTheme="majorBidi" w:cstheme="majorBidi"/>
          <w:color w:val="000000"/>
          <w:sz w:val="24"/>
          <w:szCs w:val="24"/>
        </w:rPr>
        <w:t>Bystolic</w:t>
      </w:r>
      <w:proofErr w:type="spellEnd"/>
      <w:r w:rsidRPr="00A8664F">
        <w:rPr>
          <w:rFonts w:asciiTheme="majorBidi" w:eastAsia="Times New Roman" w:hAnsiTheme="majorBidi" w:cstheme="majorBidi"/>
          <w:color w:val="000000"/>
          <w:sz w:val="24"/>
          <w:szCs w:val="24"/>
        </w:rPr>
        <w:t>" OR "</w:t>
      </w:r>
      <w:proofErr w:type="spellStart"/>
      <w:r w:rsidRPr="00A8664F">
        <w:rPr>
          <w:rFonts w:asciiTheme="majorBidi" w:eastAsia="Times New Roman" w:hAnsiTheme="majorBidi" w:cstheme="majorBidi"/>
          <w:color w:val="000000"/>
          <w:sz w:val="24"/>
          <w:szCs w:val="24"/>
        </w:rPr>
        <w:t>Nebilet</w:t>
      </w:r>
      <w:proofErr w:type="spellEnd"/>
      <w:r w:rsidRPr="00A8664F">
        <w:rPr>
          <w:rFonts w:asciiTheme="majorBidi" w:eastAsia="Times New Roman" w:hAnsiTheme="majorBidi" w:cstheme="majorBidi"/>
          <w:color w:val="000000"/>
          <w:sz w:val="24"/>
          <w:szCs w:val="24"/>
        </w:rPr>
        <w:t>") AND ("</w:t>
      </w:r>
      <w:proofErr w:type="spellStart"/>
      <w:r w:rsidRPr="00A8664F">
        <w:rPr>
          <w:rFonts w:asciiTheme="majorBidi" w:eastAsia="Times New Roman" w:hAnsiTheme="majorBidi" w:cstheme="majorBidi"/>
          <w:color w:val="000000"/>
          <w:sz w:val="24"/>
          <w:szCs w:val="24"/>
        </w:rPr>
        <w:t>anthracyclines</w:t>
      </w:r>
      <w:proofErr w:type="spellEnd"/>
      <w:r w:rsidRPr="00A8664F">
        <w:rPr>
          <w:rFonts w:asciiTheme="majorBidi" w:eastAsia="Times New Roman" w:hAnsiTheme="majorBidi" w:cstheme="majorBidi"/>
          <w:color w:val="000000"/>
          <w:sz w:val="24"/>
          <w:szCs w:val="24"/>
        </w:rPr>
        <w:t>" OR "doxorubicin" OR "</w:t>
      </w:r>
      <w:proofErr w:type="spellStart"/>
      <w:r w:rsidRPr="00A8664F">
        <w:rPr>
          <w:rFonts w:asciiTheme="majorBidi" w:eastAsia="Times New Roman" w:hAnsiTheme="majorBidi" w:cstheme="majorBidi"/>
          <w:color w:val="000000"/>
          <w:sz w:val="24"/>
          <w:szCs w:val="24"/>
        </w:rPr>
        <w:t>epirubicin</w:t>
      </w:r>
      <w:proofErr w:type="spellEnd"/>
      <w:r w:rsidRPr="00A8664F">
        <w:rPr>
          <w:rFonts w:asciiTheme="majorBidi" w:eastAsia="Times New Roman" w:hAnsiTheme="majorBidi" w:cstheme="majorBidi"/>
          <w:color w:val="000000"/>
          <w:sz w:val="24"/>
          <w:szCs w:val="24"/>
        </w:rPr>
        <w:t>" OR "</w:t>
      </w:r>
      <w:proofErr w:type="spellStart"/>
      <w:r w:rsidRPr="00A8664F">
        <w:rPr>
          <w:rFonts w:asciiTheme="majorBidi" w:eastAsia="Times New Roman" w:hAnsiTheme="majorBidi" w:cstheme="majorBidi"/>
          <w:color w:val="000000"/>
          <w:sz w:val="24"/>
          <w:szCs w:val="24"/>
        </w:rPr>
        <w:t>daunorubicin</w:t>
      </w:r>
      <w:proofErr w:type="spellEnd"/>
      <w:r w:rsidRPr="00A8664F">
        <w:rPr>
          <w:rFonts w:asciiTheme="majorBidi" w:eastAsia="Times New Roman" w:hAnsiTheme="majorBidi" w:cstheme="majorBidi"/>
          <w:color w:val="000000"/>
          <w:sz w:val="24"/>
          <w:szCs w:val="24"/>
        </w:rPr>
        <w:t>" OR "</w:t>
      </w:r>
      <w:proofErr w:type="spellStart"/>
      <w:r w:rsidRPr="00A8664F">
        <w:rPr>
          <w:rFonts w:asciiTheme="majorBidi" w:eastAsia="Times New Roman" w:hAnsiTheme="majorBidi" w:cstheme="majorBidi"/>
          <w:color w:val="000000"/>
          <w:sz w:val="24"/>
          <w:szCs w:val="24"/>
        </w:rPr>
        <w:t>idarubicin</w:t>
      </w:r>
      <w:proofErr w:type="spellEnd"/>
      <w:r w:rsidRPr="00A8664F">
        <w:rPr>
          <w:rFonts w:asciiTheme="majorBidi" w:eastAsia="Times New Roman" w:hAnsiTheme="majorBidi" w:cstheme="majorBidi"/>
          <w:color w:val="000000"/>
          <w:sz w:val="24"/>
          <w:szCs w:val="24"/>
        </w:rPr>
        <w:t>" OR "</w:t>
      </w:r>
      <w:proofErr w:type="spellStart"/>
      <w:r w:rsidRPr="00A8664F">
        <w:rPr>
          <w:rFonts w:asciiTheme="majorBidi" w:eastAsia="Times New Roman" w:hAnsiTheme="majorBidi" w:cstheme="majorBidi"/>
          <w:color w:val="000000"/>
          <w:sz w:val="24"/>
          <w:szCs w:val="24"/>
        </w:rPr>
        <w:t>trastuzumab</w:t>
      </w:r>
      <w:proofErr w:type="spellEnd"/>
      <w:r w:rsidRPr="00A8664F">
        <w:rPr>
          <w:rFonts w:asciiTheme="majorBidi" w:eastAsia="Times New Roman" w:hAnsiTheme="majorBidi" w:cstheme="majorBidi"/>
          <w:color w:val="000000"/>
          <w:sz w:val="24"/>
          <w:szCs w:val="24"/>
        </w:rPr>
        <w:t>" OR "chemotherapy" OR "cancer" OR "neoplasm" OR "malignancy" OR "oncology" OR "tumor"). For the complete list of search strategies for the above-mentioned databases see Supplementary Table S2. Backward citation chasing was done for included studies, and forward citation tracking was done to obtain additional relevant studies. The systematic review was registered at the PROSPERO International Prospective Register of Systematic Reviews (registration number CRD420261465600).</w:t>
      </w:r>
    </w:p>
    <w:p w14:paraId="305A4A6E" w14:textId="77777777" w:rsidR="00FF40AC" w:rsidRPr="00A8664F" w:rsidRDefault="00FF40AC" w:rsidP="00065F60">
      <w:pPr>
        <w:spacing w:after="0" w:line="276" w:lineRule="auto"/>
        <w:jc w:val="both"/>
        <w:rPr>
          <w:rFonts w:asciiTheme="majorBidi" w:eastAsia="Times New Roman" w:hAnsiTheme="majorBidi" w:cstheme="majorBidi"/>
          <w:color w:val="000000"/>
          <w:sz w:val="24"/>
          <w:szCs w:val="24"/>
        </w:rPr>
      </w:pPr>
    </w:p>
    <w:p w14:paraId="595E86AD" w14:textId="77777777" w:rsidR="00FF40AC" w:rsidRPr="00A8664F" w:rsidRDefault="00FF40AC" w:rsidP="00065F60">
      <w:pPr>
        <w:spacing w:after="0" w:line="276" w:lineRule="auto"/>
        <w:jc w:val="both"/>
        <w:rPr>
          <w:rFonts w:asciiTheme="majorBidi" w:eastAsia="Times New Roman" w:hAnsiTheme="majorBidi" w:cstheme="majorBidi"/>
          <w:color w:val="000000"/>
          <w:sz w:val="24"/>
          <w:szCs w:val="24"/>
        </w:rPr>
      </w:pPr>
    </w:p>
    <w:p w14:paraId="29FF7C01" w14:textId="77777777" w:rsidR="00FF40AC" w:rsidRPr="00A8664F" w:rsidRDefault="00FF40AC" w:rsidP="00065F60">
      <w:pPr>
        <w:spacing w:after="0" w:line="276" w:lineRule="auto"/>
        <w:jc w:val="both"/>
        <w:rPr>
          <w:rFonts w:asciiTheme="majorBidi" w:eastAsia="Times New Roman" w:hAnsiTheme="majorBidi" w:cstheme="majorBidi"/>
          <w:color w:val="000000"/>
          <w:sz w:val="24"/>
          <w:szCs w:val="24"/>
        </w:rPr>
      </w:pPr>
    </w:p>
    <w:p w14:paraId="3DC76B86" w14:textId="77777777" w:rsidR="002C1C89" w:rsidRPr="00A8664F" w:rsidRDefault="00110E0D" w:rsidP="00065F60">
      <w:pPr>
        <w:pStyle w:val="Heading2"/>
        <w:spacing w:line="276" w:lineRule="auto"/>
        <w:jc w:val="both"/>
        <w:rPr>
          <w:rFonts w:asciiTheme="majorBidi" w:hAnsiTheme="majorBidi" w:cstheme="majorBidi"/>
          <w:b/>
          <w:bCs/>
          <w:i/>
          <w:iCs/>
          <w:color w:val="000000"/>
          <w:sz w:val="24"/>
          <w:szCs w:val="24"/>
        </w:rPr>
      </w:pPr>
      <w:r w:rsidRPr="00A8664F">
        <w:rPr>
          <w:rFonts w:asciiTheme="majorBidi" w:hAnsiTheme="majorBidi" w:cstheme="majorBidi"/>
          <w:b/>
          <w:bCs/>
          <w:i/>
          <w:iCs/>
          <w:color w:val="000000"/>
          <w:sz w:val="24"/>
          <w:szCs w:val="24"/>
        </w:rPr>
        <w:t>2.2 Eligibility criteria</w:t>
      </w:r>
    </w:p>
    <w:p w14:paraId="2674D3F7" w14:textId="77777777" w:rsidR="002C1C89" w:rsidRPr="00A8664F" w:rsidRDefault="002C1C89" w:rsidP="00065F60">
      <w:pPr>
        <w:spacing w:after="0" w:line="276" w:lineRule="auto"/>
        <w:jc w:val="both"/>
        <w:rPr>
          <w:rFonts w:asciiTheme="majorBidi" w:hAnsiTheme="majorBidi" w:cstheme="majorBidi"/>
          <w:sz w:val="24"/>
          <w:szCs w:val="24"/>
        </w:rPr>
      </w:pPr>
    </w:p>
    <w:p w14:paraId="77540B2F" w14:textId="18403FDE" w:rsidR="00FF40AC"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All identified records were imported into </w:t>
      </w:r>
      <w:proofErr w:type="spellStart"/>
      <w:r w:rsidRPr="00A8664F">
        <w:rPr>
          <w:rFonts w:asciiTheme="majorBidi" w:eastAsia="Times New Roman" w:hAnsiTheme="majorBidi" w:cstheme="majorBidi"/>
          <w:color w:val="000000"/>
          <w:sz w:val="24"/>
          <w:szCs w:val="24"/>
        </w:rPr>
        <w:t>Rayyan</w:t>
      </w:r>
      <w:proofErr w:type="spellEnd"/>
      <w:r w:rsidRPr="00A8664F">
        <w:rPr>
          <w:rFonts w:asciiTheme="majorBidi" w:eastAsia="Times New Roman" w:hAnsiTheme="majorBidi" w:cstheme="majorBidi"/>
          <w:color w:val="000000"/>
          <w:sz w:val="24"/>
          <w:szCs w:val="24"/>
        </w:rPr>
        <w:t xml:space="preserve"> software and duplicates were removed. At the stage of screening of titles/abstracts and full-text, records were assessed by pairs of independent reviewers. Discrepancies between the two reviewers were solved during discussion and, if not possible, with the help of a designated reviewer. Studies were eligible if fulfilling PICO criteria: P, adult patients who received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-containing chemotherapy either alone or in combination with </w:t>
      </w:r>
      <w:proofErr w:type="spellStart"/>
      <w:r w:rsidRPr="00A8664F">
        <w:rPr>
          <w:rFonts w:asciiTheme="majorBidi" w:eastAsia="Times New Roman" w:hAnsiTheme="majorBidi" w:cstheme="majorBidi"/>
          <w:color w:val="000000"/>
          <w:sz w:val="24"/>
          <w:szCs w:val="24"/>
        </w:rPr>
        <w:t>trastuzumab</w:t>
      </w:r>
      <w:proofErr w:type="spellEnd"/>
      <w:r w:rsidRPr="00A8664F">
        <w:rPr>
          <w:rFonts w:asciiTheme="majorBidi" w:eastAsia="Times New Roman" w:hAnsiTheme="majorBidi" w:cstheme="majorBidi"/>
          <w:color w:val="000000"/>
          <w:sz w:val="24"/>
          <w:szCs w:val="24"/>
        </w:rPr>
        <w:t xml:space="preserve">; I, prophylactic administration of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C, placebo, standard of care, or no </w:t>
      </w:r>
      <w:proofErr w:type="spellStart"/>
      <w:r w:rsidRPr="00A8664F">
        <w:rPr>
          <w:rFonts w:asciiTheme="majorBidi" w:eastAsia="Times New Roman" w:hAnsiTheme="majorBidi" w:cstheme="majorBidi"/>
          <w:color w:val="000000"/>
          <w:sz w:val="24"/>
          <w:szCs w:val="24"/>
        </w:rPr>
        <w:t>cardioprotective</w:t>
      </w:r>
      <w:proofErr w:type="spellEnd"/>
      <w:r w:rsidRPr="00A8664F">
        <w:rPr>
          <w:rFonts w:asciiTheme="majorBidi" w:eastAsia="Times New Roman" w:hAnsiTheme="majorBidi" w:cstheme="majorBidi"/>
          <w:color w:val="000000"/>
          <w:sz w:val="24"/>
          <w:szCs w:val="24"/>
        </w:rPr>
        <w:t xml:space="preserve"> treatment; and O, outcomes of </w:t>
      </w:r>
      <w:r w:rsidR="00795625" w:rsidRPr="00A8664F">
        <w:rPr>
          <w:rFonts w:asciiTheme="majorBidi" w:eastAsia="Times New Roman" w:hAnsiTheme="majorBidi" w:cstheme="majorBidi"/>
          <w:color w:val="000000"/>
          <w:sz w:val="24"/>
          <w:szCs w:val="24"/>
        </w:rPr>
        <w:t>(1) final left ventricular ejection fraction (LVEF) at the end of follow-up, assessed by echocardiography or cardiac magnetic resonance imaging, and (2) cancer therapy–related cardiac dysfunction (CTRCD) or cardiotoxicity, as defined by each included study</w:t>
      </w:r>
      <w:r w:rsidRPr="00A8664F">
        <w:rPr>
          <w:rFonts w:asciiTheme="majorBidi" w:eastAsia="Times New Roman" w:hAnsiTheme="majorBidi" w:cstheme="majorBidi"/>
          <w:color w:val="000000"/>
          <w:sz w:val="24"/>
          <w:szCs w:val="24"/>
        </w:rPr>
        <w:t>. Outcomes</w:t>
      </w:r>
      <w:r w:rsidR="00795625" w:rsidRPr="00A8664F">
        <w:rPr>
          <w:rFonts w:asciiTheme="majorBidi" w:eastAsia="Times New Roman" w:hAnsiTheme="majorBidi" w:cstheme="majorBidi"/>
          <w:color w:val="000000"/>
          <w:sz w:val="24"/>
          <w:szCs w:val="24"/>
        </w:rPr>
        <w:t xml:space="preserve"> </w:t>
      </w:r>
      <w:r w:rsidRPr="00A8664F">
        <w:rPr>
          <w:rFonts w:asciiTheme="majorBidi" w:eastAsia="Times New Roman" w:hAnsiTheme="majorBidi" w:cstheme="majorBidi"/>
          <w:color w:val="000000"/>
          <w:sz w:val="24"/>
          <w:szCs w:val="24"/>
        </w:rPr>
        <w:t xml:space="preserve">were assessed at follow-up periods specified in studies with the preference to use the longest follow-up period if there were several ones. </w:t>
      </w:r>
      <w:r w:rsidR="002E10B3" w:rsidRPr="00A8664F">
        <w:rPr>
          <w:rFonts w:asciiTheme="majorBidi" w:eastAsia="Times New Roman" w:hAnsiTheme="majorBidi" w:cstheme="majorBidi"/>
          <w:color w:val="000000"/>
          <w:sz w:val="24"/>
          <w:szCs w:val="24"/>
        </w:rPr>
        <w:t>Additional outcomes included final left ventricular end-systolic diameter (LVESD), final left ventricular end-diastolic diameter (LVEDD)</w:t>
      </w:r>
      <w:r w:rsidRPr="00A8664F">
        <w:rPr>
          <w:rFonts w:asciiTheme="majorBidi" w:eastAsia="Times New Roman" w:hAnsiTheme="majorBidi" w:cstheme="majorBidi"/>
          <w:color w:val="000000"/>
          <w:sz w:val="24"/>
          <w:szCs w:val="24"/>
        </w:rPr>
        <w:t xml:space="preserve">, global longitudinal strain, E/A ratio, </w:t>
      </w:r>
      <w:proofErr w:type="spellStart"/>
      <w:r w:rsidRPr="00A8664F">
        <w:rPr>
          <w:rFonts w:asciiTheme="majorBidi" w:eastAsia="Times New Roman" w:hAnsiTheme="majorBidi" w:cstheme="majorBidi"/>
          <w:color w:val="000000"/>
          <w:sz w:val="24"/>
          <w:szCs w:val="24"/>
        </w:rPr>
        <w:t>isovolumic</w:t>
      </w:r>
      <w:proofErr w:type="spellEnd"/>
      <w:r w:rsidRPr="00A8664F">
        <w:rPr>
          <w:rFonts w:asciiTheme="majorBidi" w:eastAsia="Times New Roman" w:hAnsiTheme="majorBidi" w:cstheme="majorBidi"/>
          <w:color w:val="000000"/>
          <w:sz w:val="24"/>
          <w:szCs w:val="24"/>
        </w:rPr>
        <w:t xml:space="preserve"> relaxation time (IVRT), troponin, and B-type natriuretic peptide (BNP) or NT-</w:t>
      </w:r>
      <w:proofErr w:type="spellStart"/>
      <w:r w:rsidRPr="00A8664F">
        <w:rPr>
          <w:rFonts w:asciiTheme="majorBidi" w:eastAsia="Times New Roman" w:hAnsiTheme="majorBidi" w:cstheme="majorBidi"/>
          <w:color w:val="000000"/>
          <w:sz w:val="24"/>
          <w:szCs w:val="24"/>
        </w:rPr>
        <w:t>proBNP</w:t>
      </w:r>
      <w:proofErr w:type="spellEnd"/>
      <w:r w:rsidRPr="00A8664F">
        <w:rPr>
          <w:rFonts w:asciiTheme="majorBidi" w:eastAsia="Times New Roman" w:hAnsiTheme="majorBidi" w:cstheme="majorBidi"/>
          <w:color w:val="000000"/>
          <w:sz w:val="24"/>
          <w:szCs w:val="24"/>
        </w:rPr>
        <w:t>, as well as the clinical outcomes of symptomatic heart failure, heart failure hospitalization, cardiovascular mortality, all-cause mortality, adverse events, and treatment discontinuation. Study designs of interest were randomized controlled trials, prospective and retrospective cohort studies. Excluded studies were those that had wrong study design (e.g., reviews, editorials, case reports/letters), use of inappropriate study population, use of inappropriate intervention or control, lack of an outcome of interest, and stopped or incomplete trials with no publication of results</w:t>
      </w:r>
    </w:p>
    <w:p w14:paraId="6AF46DDD" w14:textId="4945016A"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w:t>
      </w:r>
    </w:p>
    <w:p w14:paraId="3E27ADE6" w14:textId="77777777" w:rsidR="002C1C89" w:rsidRPr="00A8664F" w:rsidRDefault="00110E0D" w:rsidP="00065F60">
      <w:pPr>
        <w:pStyle w:val="Heading2"/>
        <w:spacing w:line="276" w:lineRule="auto"/>
        <w:jc w:val="both"/>
        <w:rPr>
          <w:rFonts w:asciiTheme="majorBidi" w:hAnsiTheme="majorBidi" w:cstheme="majorBidi"/>
          <w:b/>
          <w:bCs/>
          <w:i/>
          <w:iCs/>
          <w:color w:val="000000"/>
          <w:sz w:val="24"/>
          <w:szCs w:val="24"/>
        </w:rPr>
      </w:pPr>
      <w:r w:rsidRPr="00A8664F">
        <w:rPr>
          <w:rFonts w:asciiTheme="majorBidi" w:hAnsiTheme="majorBidi" w:cstheme="majorBidi"/>
          <w:b/>
          <w:bCs/>
          <w:i/>
          <w:iCs/>
          <w:color w:val="000000"/>
          <w:sz w:val="24"/>
          <w:szCs w:val="24"/>
        </w:rPr>
        <w:t>2.3 Data Extraction</w:t>
      </w:r>
    </w:p>
    <w:p w14:paraId="134718B7" w14:textId="77777777" w:rsidR="002C1C89" w:rsidRPr="00A8664F" w:rsidRDefault="002C1C89" w:rsidP="00065F60">
      <w:pPr>
        <w:spacing w:after="0" w:line="276" w:lineRule="auto"/>
        <w:jc w:val="both"/>
        <w:rPr>
          <w:rFonts w:asciiTheme="majorBidi" w:hAnsiTheme="majorBidi" w:cstheme="majorBidi"/>
          <w:sz w:val="24"/>
          <w:szCs w:val="24"/>
        </w:rPr>
      </w:pPr>
    </w:p>
    <w:p w14:paraId="298BD4E3" w14:textId="0250F27C"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Two independent authors extracted baseline characteristics, including study ID, country, study design, study duration, sample size, and patient demographics (age, sex, and body mass index). Clinical characteristics, including breast cancer status, hypertension, diabetes mellitus, diastolic blood pressure, and heart rate, were also extracted. Baseline cardiac parameters, including LVEF, LVEDD, LVESD, E/A ratio, and IVRT, as well as doxorubicin exposure and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dose, were recorded for both the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placebo groups. </w:t>
      </w:r>
      <w:r w:rsidR="00795625" w:rsidRPr="00A8664F">
        <w:rPr>
          <w:rFonts w:asciiTheme="majorBidi" w:eastAsia="Times New Roman" w:hAnsiTheme="majorBidi" w:cstheme="majorBidi"/>
          <w:color w:val="000000"/>
          <w:sz w:val="24"/>
          <w:szCs w:val="24"/>
        </w:rPr>
        <w:t>Outcome data were independently extracted by two reviewers for each assigned outcome, with disagreements resolved by discussion and, when necessary, consultation with a third reviewer</w:t>
      </w:r>
      <w:r w:rsidRPr="00A8664F">
        <w:rPr>
          <w:rFonts w:asciiTheme="majorBidi" w:eastAsia="Times New Roman" w:hAnsiTheme="majorBidi" w:cstheme="majorBidi"/>
          <w:color w:val="000000"/>
          <w:sz w:val="24"/>
          <w:szCs w:val="24"/>
        </w:rPr>
        <w:t xml:space="preserve">. The dichotomous outcome of all-cause mortality was extracted as the number of events and total participants in the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placebo groups. Continuous outcomes, including final LVEF, final LVEDD, final LVESD, E/A ratio, and IVRT, were extracted as mean, standard deviation, and total sample size for each treatment group.</w:t>
      </w:r>
    </w:p>
    <w:p w14:paraId="7472C8FA" w14:textId="77777777" w:rsidR="002C1C89" w:rsidRPr="00A8664F" w:rsidRDefault="00110E0D" w:rsidP="00065F60">
      <w:pPr>
        <w:pStyle w:val="Heading2"/>
        <w:spacing w:line="276" w:lineRule="auto"/>
        <w:jc w:val="both"/>
        <w:rPr>
          <w:rFonts w:asciiTheme="majorBidi" w:hAnsiTheme="majorBidi" w:cstheme="majorBidi"/>
          <w:b/>
          <w:bCs/>
          <w:i/>
          <w:iCs/>
          <w:color w:val="000000"/>
          <w:sz w:val="24"/>
          <w:szCs w:val="24"/>
        </w:rPr>
      </w:pPr>
      <w:r w:rsidRPr="00A8664F">
        <w:rPr>
          <w:rFonts w:asciiTheme="majorBidi" w:hAnsiTheme="majorBidi" w:cstheme="majorBidi"/>
          <w:b/>
          <w:bCs/>
          <w:i/>
          <w:iCs/>
          <w:color w:val="000000"/>
          <w:sz w:val="24"/>
          <w:szCs w:val="24"/>
        </w:rPr>
        <w:t>2.4 Assessment of risk of bias</w:t>
      </w:r>
    </w:p>
    <w:p w14:paraId="729507B8"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The risk of bias of included randomized controlled trials was independently evaluated by two reviewers using the Cochrane Risk of Bias 2.0 (</w:t>
      </w:r>
      <w:proofErr w:type="spellStart"/>
      <w:r w:rsidRPr="00A8664F">
        <w:rPr>
          <w:rFonts w:asciiTheme="majorBidi" w:eastAsia="Times New Roman" w:hAnsiTheme="majorBidi" w:cstheme="majorBidi"/>
          <w:color w:val="000000"/>
          <w:sz w:val="24"/>
          <w:szCs w:val="24"/>
        </w:rPr>
        <w:t>RoB</w:t>
      </w:r>
      <w:proofErr w:type="spellEnd"/>
      <w:r w:rsidRPr="00A8664F">
        <w:rPr>
          <w:rFonts w:asciiTheme="majorBidi" w:eastAsia="Times New Roman" w:hAnsiTheme="majorBidi" w:cstheme="majorBidi"/>
          <w:color w:val="000000"/>
          <w:sz w:val="24"/>
          <w:szCs w:val="24"/>
        </w:rPr>
        <w:t xml:space="preserve"> 2.0) tool in five domains: (1) the randomization process, (2) deviations from intended interventions, (3) missing outcome data, (4) measurement of the outcome, and (5) selection of the reported result. Each domain was classified as having low risk of bias, some concerns, or high risk of bias. Risk of bias related to selective outcome reporting was assessed based on comparison of trial registration/protocol information against published trial reports. Differences were resolved by discussion and agreement between the reviewers. The certainty of the evidence in the individual outcomes was graded as very low, low, moderate, or high according to the GRADE approach taking into account risk of bias, inconsistency, indirectness, imprecision, and publication bias. Publication bias was not assessed because there were less than 10 studies for each outcome that prevents reliable interpretation of funnel plot asymmetry or Egger's test.</w:t>
      </w:r>
    </w:p>
    <w:p w14:paraId="5A560312" w14:textId="77777777" w:rsidR="002C1C89" w:rsidRPr="00A8664F" w:rsidRDefault="00110E0D" w:rsidP="00065F60">
      <w:pPr>
        <w:pStyle w:val="Heading2"/>
        <w:spacing w:line="276" w:lineRule="auto"/>
        <w:jc w:val="both"/>
        <w:rPr>
          <w:rFonts w:asciiTheme="majorBidi" w:hAnsiTheme="majorBidi" w:cstheme="majorBidi"/>
          <w:b/>
          <w:bCs/>
          <w:i/>
          <w:iCs/>
          <w:color w:val="000000"/>
          <w:sz w:val="24"/>
          <w:szCs w:val="24"/>
        </w:rPr>
      </w:pPr>
      <w:r w:rsidRPr="00A8664F">
        <w:rPr>
          <w:rFonts w:asciiTheme="majorBidi" w:hAnsiTheme="majorBidi" w:cstheme="majorBidi"/>
          <w:b/>
          <w:bCs/>
          <w:i/>
          <w:iCs/>
          <w:color w:val="000000"/>
          <w:sz w:val="24"/>
          <w:szCs w:val="24"/>
        </w:rPr>
        <w:t>2.5 Statistical Analysis</w:t>
      </w:r>
    </w:p>
    <w:p w14:paraId="30C0B2A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Continuous outcomes (e.g., final LVEF, final LVEDD, final LVESD, E/A ratio and IVRT) were pooled as mean differences (MD) with 95% confidence intervals (CI), while dichotomous outcomes (e.g., all-cause mortality) were pooled as risk ratios (RR) with 95% CI. A random-effects model was used for the primary analyses, with restricted maximum likelihood (REML) used to estimate between-study variance and </w:t>
      </w:r>
      <w:proofErr w:type="spellStart"/>
      <w:r w:rsidRPr="00A8664F">
        <w:rPr>
          <w:rFonts w:asciiTheme="majorBidi" w:eastAsia="Times New Roman" w:hAnsiTheme="majorBidi" w:cstheme="majorBidi"/>
          <w:color w:val="000000"/>
          <w:sz w:val="24"/>
          <w:szCs w:val="24"/>
        </w:rPr>
        <w:t>Hartung</w:t>
      </w:r>
      <w:proofErr w:type="spellEnd"/>
      <w:r w:rsidRPr="00A8664F">
        <w:rPr>
          <w:rFonts w:asciiTheme="majorBidi" w:eastAsia="Times New Roman" w:hAnsiTheme="majorBidi" w:cstheme="majorBidi"/>
          <w:color w:val="000000"/>
          <w:sz w:val="24"/>
          <w:szCs w:val="24"/>
        </w:rPr>
        <w:t>–Knapp–</w:t>
      </w:r>
      <w:proofErr w:type="spellStart"/>
      <w:r w:rsidRPr="00A8664F">
        <w:rPr>
          <w:rFonts w:asciiTheme="majorBidi" w:eastAsia="Times New Roman" w:hAnsiTheme="majorBidi" w:cstheme="majorBidi"/>
          <w:color w:val="000000"/>
          <w:sz w:val="24"/>
          <w:szCs w:val="24"/>
        </w:rPr>
        <w:t>Sidik</w:t>
      </w:r>
      <w:proofErr w:type="spellEnd"/>
      <w:r w:rsidRPr="00A8664F">
        <w:rPr>
          <w:rFonts w:asciiTheme="majorBidi" w:eastAsia="Times New Roman" w:hAnsiTheme="majorBidi" w:cstheme="majorBidi"/>
          <w:color w:val="000000"/>
          <w:sz w:val="24"/>
          <w:szCs w:val="24"/>
        </w:rPr>
        <w:t>–</w:t>
      </w:r>
      <w:proofErr w:type="spellStart"/>
      <w:r w:rsidRPr="00A8664F">
        <w:rPr>
          <w:rFonts w:asciiTheme="majorBidi" w:eastAsia="Times New Roman" w:hAnsiTheme="majorBidi" w:cstheme="majorBidi"/>
          <w:color w:val="000000"/>
          <w:sz w:val="24"/>
          <w:szCs w:val="24"/>
        </w:rPr>
        <w:t>Jonkman</w:t>
      </w:r>
      <w:proofErr w:type="spellEnd"/>
      <w:r w:rsidRPr="00A8664F">
        <w:rPr>
          <w:rFonts w:asciiTheme="majorBidi" w:eastAsia="Times New Roman" w:hAnsiTheme="majorBidi" w:cstheme="majorBidi"/>
          <w:color w:val="000000"/>
          <w:sz w:val="24"/>
          <w:szCs w:val="24"/>
        </w:rPr>
        <w:t xml:space="preserve"> adjustment applied to the confidence intervals. Heterogeneity was assessed using the Chi² test and I² statistic, with a Chi² P-value &lt;0.05 considered statistically significant heterogeneity. Fixed-effect inverse-variance analyses were performed as sensitivity analyses. Leave-one-out sensitivity analyses were performed for outcomes with substantial heterogeneity to assess the influence of individual studies on the pooled estimates and heterogeneity. For all-cause mortality, studies with zero events in both treatment groups were not estimable, and the pooled estimate was based on the single study with informative events. Subgroup analyses were not performed because only four trials were included. A P-value &lt;0.05 was considered statistically significant, and all tests were two-sided. Pooled results were presented as forest plots. Analyses were performed using Review Manager (</w:t>
      </w:r>
      <w:proofErr w:type="spellStart"/>
      <w:r w:rsidRPr="00A8664F">
        <w:rPr>
          <w:rFonts w:asciiTheme="majorBidi" w:eastAsia="Times New Roman" w:hAnsiTheme="majorBidi" w:cstheme="majorBidi"/>
          <w:color w:val="000000"/>
          <w:sz w:val="24"/>
          <w:szCs w:val="24"/>
        </w:rPr>
        <w:t>RevMan</w:t>
      </w:r>
      <w:proofErr w:type="spellEnd"/>
      <w:r w:rsidRPr="00A8664F">
        <w:rPr>
          <w:rFonts w:asciiTheme="majorBidi" w:eastAsia="Times New Roman" w:hAnsiTheme="majorBidi" w:cstheme="majorBidi"/>
          <w:color w:val="000000"/>
          <w:sz w:val="24"/>
          <w:szCs w:val="24"/>
        </w:rPr>
        <w:t>) Web.</w:t>
      </w:r>
    </w:p>
    <w:p w14:paraId="6B92F786" w14:textId="77777777" w:rsidR="002C1C89" w:rsidRPr="00A8664F" w:rsidRDefault="00110E0D" w:rsidP="00065F60">
      <w:pPr>
        <w:pStyle w:val="Heading2"/>
        <w:numPr>
          <w:ilvl w:val="0"/>
          <w:numId w:val="1"/>
        </w:numPr>
        <w:spacing w:line="276" w:lineRule="auto"/>
        <w:jc w:val="both"/>
        <w:rPr>
          <w:rFonts w:asciiTheme="majorBidi" w:hAnsiTheme="majorBidi" w:cstheme="majorBidi"/>
          <w:b/>
          <w:bCs/>
          <w:color w:val="000000"/>
          <w:sz w:val="24"/>
          <w:szCs w:val="24"/>
        </w:rPr>
      </w:pPr>
      <w:r w:rsidRPr="00A8664F">
        <w:rPr>
          <w:rFonts w:asciiTheme="majorBidi" w:hAnsiTheme="majorBidi" w:cstheme="majorBidi"/>
          <w:b/>
          <w:bCs/>
          <w:color w:val="000000"/>
          <w:sz w:val="24"/>
          <w:szCs w:val="24"/>
        </w:rPr>
        <w:t>Results</w:t>
      </w:r>
    </w:p>
    <w:p w14:paraId="002ED2BC"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1F571DF0" w14:textId="77777777" w:rsidR="002C1C89" w:rsidRPr="00A8664F" w:rsidRDefault="00110E0D" w:rsidP="00065F60">
      <w:pPr>
        <w:spacing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3.1 Study selection</w:t>
      </w:r>
    </w:p>
    <w:p w14:paraId="6C243709" w14:textId="77777777" w:rsidR="002C1C89" w:rsidRPr="00A8664F" w:rsidRDefault="002C1C89" w:rsidP="00065F60">
      <w:pPr>
        <w:spacing w:after="0" w:line="276" w:lineRule="auto"/>
        <w:jc w:val="both"/>
        <w:rPr>
          <w:rFonts w:asciiTheme="majorBidi" w:eastAsia="Times New Roman" w:hAnsiTheme="majorBidi" w:cstheme="majorBidi"/>
          <w:b/>
          <w:bCs/>
          <w:i/>
          <w:iCs/>
          <w:color w:val="000000"/>
          <w:sz w:val="24"/>
          <w:szCs w:val="24"/>
        </w:rPr>
      </w:pPr>
    </w:p>
    <w:p w14:paraId="3AC423AD" w14:textId="4439ED3F" w:rsidR="002C1C89" w:rsidRPr="00A8664F" w:rsidRDefault="00795625"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A total of 720 records were identified, of which 91 duplicates were removed, leaving 629 records for title and abstract screening. Of these, 536 were excluded and 93 reports were sought for retrieval and assessed for full-text eligibility. Eighty-nine reports were excluded because they did not meet the eligibility criteria, leaving four studies for inclusion in the systematic review and meta-analysis. The study-selection process is summarized in Figure 1.</w:t>
      </w:r>
    </w:p>
    <w:p w14:paraId="69F3C544" w14:textId="77777777" w:rsidR="00795625" w:rsidRPr="00A8664F" w:rsidRDefault="00795625" w:rsidP="00065F60">
      <w:pPr>
        <w:spacing w:after="0" w:line="276" w:lineRule="auto"/>
        <w:jc w:val="both"/>
        <w:rPr>
          <w:rFonts w:asciiTheme="majorBidi" w:eastAsia="Times New Roman" w:hAnsiTheme="majorBidi" w:cstheme="majorBidi"/>
          <w:color w:val="000000"/>
          <w:sz w:val="24"/>
          <w:szCs w:val="24"/>
        </w:rPr>
      </w:pPr>
    </w:p>
    <w:p w14:paraId="119971ED" w14:textId="77777777" w:rsidR="002C1C89"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 xml:space="preserve">                 Figure 1. PRISMA 2020 flow diagram of study identification and selection</w:t>
      </w:r>
    </w:p>
    <w:p w14:paraId="46B44EEA" w14:textId="77777777" w:rsidR="002C1C89" w:rsidRPr="00A8664F" w:rsidRDefault="002C1C89" w:rsidP="00065F60">
      <w:pPr>
        <w:spacing w:after="0" w:line="276" w:lineRule="auto"/>
        <w:jc w:val="both"/>
        <w:rPr>
          <w:rFonts w:asciiTheme="majorBidi" w:eastAsia="Times New Roman" w:hAnsiTheme="majorBidi" w:cstheme="majorBidi"/>
          <w:b/>
          <w:bCs/>
          <w:color w:val="000000"/>
          <w:sz w:val="24"/>
          <w:szCs w:val="24"/>
        </w:rPr>
      </w:pPr>
    </w:p>
    <w:p w14:paraId="0E443B3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p>
    <w:p w14:paraId="6AA1003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r w:rsidRPr="00A8664F">
        <w:rPr>
          <w:rFonts w:asciiTheme="majorBidi" w:eastAsia="Times New Roman" w:hAnsiTheme="majorBidi" w:cstheme="majorBidi"/>
          <w:noProof/>
          <w:color w:val="000000"/>
          <w:sz w:val="24"/>
          <w:szCs w:val="24"/>
        </w:rPr>
        <w:drawing>
          <wp:inline distT="0" distB="0" distL="0" distR="0" wp14:anchorId="32411F9B" wp14:editId="0766532E">
            <wp:extent cx="5179695" cy="601281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179695" cy="6012815"/>
                    </a:xfrm>
                    <a:prstGeom prst="rect">
                      <a:avLst/>
                    </a:prstGeom>
                    <a:ln/>
                  </pic:spPr>
                </pic:pic>
              </a:graphicData>
            </a:graphic>
          </wp:inline>
        </w:drawing>
      </w:r>
    </w:p>
    <w:p w14:paraId="3D91A674"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17AB88A2"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2AA5762F" w14:textId="77777777" w:rsidR="002C1C89" w:rsidRPr="00A8664F" w:rsidRDefault="00110E0D" w:rsidP="00065F60">
      <w:pPr>
        <w:spacing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3.2 Study Characteristics</w:t>
      </w:r>
    </w:p>
    <w:p w14:paraId="12D661DB" w14:textId="01E00530" w:rsidR="002C1C89" w:rsidRPr="00A8664F" w:rsidRDefault="00795625" w:rsidP="00065F60">
      <w:pPr>
        <w:widowControl w:val="0"/>
        <w:spacing w:after="0" w:line="276" w:lineRule="auto"/>
        <w:jc w:val="both"/>
        <w:rPr>
          <w:rFonts w:asciiTheme="majorBidi" w:eastAsia="Times New Roman" w:hAnsiTheme="majorBidi" w:cstheme="majorBidi"/>
          <w:color w:val="000000"/>
          <w:sz w:val="24"/>
          <w:szCs w:val="24"/>
        </w:rPr>
      </w:pPr>
      <w:bookmarkStart w:id="0" w:name="_9r52oslp4qv9" w:colFirst="0" w:colLast="0"/>
      <w:bookmarkEnd w:id="0"/>
      <w:r w:rsidRPr="00A8664F">
        <w:rPr>
          <w:rFonts w:asciiTheme="majorBidi" w:eastAsia="Times New Roman" w:hAnsiTheme="majorBidi" w:cstheme="majorBidi"/>
          <w:color w:val="000000"/>
          <w:sz w:val="24"/>
          <w:szCs w:val="24"/>
        </w:rPr>
        <w:t xml:space="preserve">Four randomized controlled trials involving 265 randomized participants were included: </w:t>
      </w:r>
      <w:proofErr w:type="spellStart"/>
      <w:r w:rsidRPr="00A8664F">
        <w:rPr>
          <w:rFonts w:asciiTheme="majorBidi" w:eastAsia="Times New Roman" w:hAnsiTheme="majorBidi" w:cstheme="majorBidi"/>
          <w:color w:val="000000"/>
          <w:sz w:val="24"/>
          <w:szCs w:val="24"/>
        </w:rPr>
        <w:t>Cochera</w:t>
      </w:r>
      <w:proofErr w:type="spellEnd"/>
      <w:r w:rsidRPr="00A8664F">
        <w:rPr>
          <w:rFonts w:asciiTheme="majorBidi" w:eastAsia="Times New Roman" w:hAnsiTheme="majorBidi" w:cstheme="majorBidi"/>
          <w:color w:val="000000"/>
          <w:sz w:val="24"/>
          <w:szCs w:val="24"/>
        </w:rPr>
        <w:t xml:space="preserve"> 2018</w:t>
      </w:r>
      <w:r w:rsidR="002E10B3" w:rsidRPr="00A8664F">
        <w:rPr>
          <w:rFonts w:asciiTheme="majorBidi" w:eastAsia="Times New Roman" w:hAnsiTheme="majorBidi" w:cstheme="majorBidi"/>
          <w:color w:val="000000"/>
          <w:sz w:val="24"/>
          <w:szCs w:val="24"/>
        </w:rPr>
        <w:t xml:space="preserve"> (15)</w:t>
      </w:r>
      <w:r w:rsidRPr="00A8664F">
        <w:rPr>
          <w:rFonts w:asciiTheme="majorBidi" w:eastAsia="Times New Roman" w:hAnsiTheme="majorBidi" w:cstheme="majorBidi"/>
          <w:color w:val="000000"/>
          <w:sz w:val="24"/>
          <w:szCs w:val="24"/>
        </w:rPr>
        <w:t>, Kaya 2013</w:t>
      </w:r>
      <w:r w:rsidR="002E10B3" w:rsidRPr="00A8664F">
        <w:rPr>
          <w:rFonts w:asciiTheme="majorBidi" w:eastAsia="Times New Roman" w:hAnsiTheme="majorBidi" w:cstheme="majorBidi"/>
          <w:color w:val="000000"/>
          <w:sz w:val="24"/>
          <w:szCs w:val="24"/>
        </w:rPr>
        <w:t xml:space="preserve"> (16)</w:t>
      </w:r>
      <w:r w:rsidRPr="00A8664F">
        <w:rPr>
          <w:rFonts w:asciiTheme="majorBidi" w:eastAsia="Times New Roman" w:hAnsiTheme="majorBidi" w:cstheme="majorBidi"/>
          <w:color w:val="000000"/>
          <w:sz w:val="24"/>
          <w:szCs w:val="24"/>
        </w:rPr>
        <w:t xml:space="preserve">, </w:t>
      </w:r>
      <w:proofErr w:type="spellStart"/>
      <w:r w:rsidRPr="00A8664F">
        <w:rPr>
          <w:rFonts w:asciiTheme="majorBidi" w:eastAsia="Times New Roman" w:hAnsiTheme="majorBidi" w:cstheme="majorBidi"/>
          <w:color w:val="000000"/>
          <w:sz w:val="24"/>
          <w:szCs w:val="24"/>
        </w:rPr>
        <w:t>Rudrapogu</w:t>
      </w:r>
      <w:proofErr w:type="spellEnd"/>
      <w:r w:rsidRPr="00A8664F">
        <w:rPr>
          <w:rFonts w:asciiTheme="majorBidi" w:eastAsia="Times New Roman" w:hAnsiTheme="majorBidi" w:cstheme="majorBidi"/>
          <w:color w:val="000000"/>
          <w:sz w:val="24"/>
          <w:szCs w:val="24"/>
        </w:rPr>
        <w:t xml:space="preserve"> 2019</w:t>
      </w:r>
      <w:r w:rsidR="002E10B3" w:rsidRPr="00A8664F">
        <w:rPr>
          <w:rFonts w:asciiTheme="majorBidi" w:eastAsia="Times New Roman" w:hAnsiTheme="majorBidi" w:cstheme="majorBidi"/>
          <w:color w:val="000000"/>
          <w:sz w:val="24"/>
          <w:szCs w:val="24"/>
        </w:rPr>
        <w:t xml:space="preserve"> (17)</w:t>
      </w:r>
      <w:r w:rsidRPr="00A8664F">
        <w:rPr>
          <w:rFonts w:asciiTheme="majorBidi" w:eastAsia="Times New Roman" w:hAnsiTheme="majorBidi" w:cstheme="majorBidi"/>
          <w:color w:val="000000"/>
          <w:sz w:val="24"/>
          <w:szCs w:val="24"/>
        </w:rPr>
        <w:t xml:space="preserve">, and </w:t>
      </w: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w:t>
      </w:r>
      <w:r w:rsidR="002E10B3" w:rsidRPr="00A8664F">
        <w:rPr>
          <w:rFonts w:asciiTheme="majorBidi" w:eastAsia="Times New Roman" w:hAnsiTheme="majorBidi" w:cstheme="majorBidi"/>
          <w:color w:val="000000"/>
          <w:sz w:val="24"/>
          <w:szCs w:val="24"/>
        </w:rPr>
        <w:t xml:space="preserve"> (18)</w:t>
      </w:r>
      <w:r w:rsidRPr="00A8664F">
        <w:rPr>
          <w:rFonts w:asciiTheme="majorBidi" w:eastAsia="Times New Roman" w:hAnsiTheme="majorBidi" w:cstheme="majorBidi"/>
          <w:color w:val="000000"/>
          <w:sz w:val="24"/>
          <w:szCs w:val="24"/>
        </w:rPr>
        <w:t xml:space="preserve">. The studies were conducted in Romania, Turkey, India, and Italy and evaluated oral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5 mg/day compared with placebo or no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with follow-up ranging from approximately 3.5 months to 12 months. The three earlier trials enrolled exclusively women with breast cancer, whereas </w:t>
      </w: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 included patients with breast cancer or diffuse large B-cell lymphoma and women constituted 70% of the study population. Doxorubicin was administered to all participants in </w:t>
      </w:r>
      <w:proofErr w:type="spellStart"/>
      <w:r w:rsidRPr="00A8664F">
        <w:rPr>
          <w:rFonts w:asciiTheme="majorBidi" w:eastAsia="Times New Roman" w:hAnsiTheme="majorBidi" w:cstheme="majorBidi"/>
          <w:color w:val="000000"/>
          <w:sz w:val="24"/>
          <w:szCs w:val="24"/>
        </w:rPr>
        <w:t>Cochera</w:t>
      </w:r>
      <w:proofErr w:type="spellEnd"/>
      <w:r w:rsidRPr="00A8664F">
        <w:rPr>
          <w:rFonts w:asciiTheme="majorBidi" w:eastAsia="Times New Roman" w:hAnsiTheme="majorBidi" w:cstheme="majorBidi"/>
          <w:color w:val="000000"/>
          <w:sz w:val="24"/>
          <w:szCs w:val="24"/>
        </w:rPr>
        <w:t xml:space="preserve"> 2018 and </w:t>
      </w:r>
      <w:proofErr w:type="spellStart"/>
      <w:r w:rsidRPr="00A8664F">
        <w:rPr>
          <w:rFonts w:asciiTheme="majorBidi" w:eastAsia="Times New Roman" w:hAnsiTheme="majorBidi" w:cstheme="majorBidi"/>
          <w:color w:val="000000"/>
          <w:sz w:val="24"/>
          <w:szCs w:val="24"/>
        </w:rPr>
        <w:t>Rudrapogu</w:t>
      </w:r>
      <w:proofErr w:type="spellEnd"/>
      <w:r w:rsidRPr="00A8664F">
        <w:rPr>
          <w:rFonts w:asciiTheme="majorBidi" w:eastAsia="Times New Roman" w:hAnsiTheme="majorBidi" w:cstheme="majorBidi"/>
          <w:color w:val="000000"/>
          <w:sz w:val="24"/>
          <w:szCs w:val="24"/>
        </w:rPr>
        <w:t xml:space="preserve"> 2019, whereas Kaya 2013 included both </w:t>
      </w:r>
      <w:proofErr w:type="spellStart"/>
      <w:r w:rsidRPr="00A8664F">
        <w:rPr>
          <w:rFonts w:asciiTheme="majorBidi" w:eastAsia="Times New Roman" w:hAnsiTheme="majorBidi" w:cstheme="majorBidi"/>
          <w:color w:val="000000"/>
          <w:sz w:val="24"/>
          <w:szCs w:val="24"/>
        </w:rPr>
        <w:t>adriamycin</w:t>
      </w:r>
      <w:proofErr w:type="spellEnd"/>
      <w:r w:rsidRPr="00A8664F">
        <w:rPr>
          <w:rFonts w:asciiTheme="majorBidi" w:eastAsia="Times New Roman" w:hAnsiTheme="majorBidi" w:cstheme="majorBidi"/>
          <w:color w:val="000000"/>
          <w:sz w:val="24"/>
          <w:szCs w:val="24"/>
        </w:rPr>
        <w:t xml:space="preserve">- and </w:t>
      </w:r>
      <w:proofErr w:type="spellStart"/>
      <w:r w:rsidRPr="00A8664F">
        <w:rPr>
          <w:rFonts w:asciiTheme="majorBidi" w:eastAsia="Times New Roman" w:hAnsiTheme="majorBidi" w:cstheme="majorBidi"/>
          <w:color w:val="000000"/>
          <w:sz w:val="24"/>
          <w:szCs w:val="24"/>
        </w:rPr>
        <w:t>epirubicin</w:t>
      </w:r>
      <w:proofErr w:type="spellEnd"/>
      <w:r w:rsidRPr="00A8664F">
        <w:rPr>
          <w:rFonts w:asciiTheme="majorBidi" w:eastAsia="Times New Roman" w:hAnsiTheme="majorBidi" w:cstheme="majorBidi"/>
          <w:color w:val="000000"/>
          <w:sz w:val="24"/>
          <w:szCs w:val="24"/>
        </w:rPr>
        <w:t xml:space="preserve">-based regimens; the specific proportion receiving doxorubicin was not reported in </w:t>
      </w: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w:t>
      </w:r>
    </w:p>
    <w:p w14:paraId="51B0E6A2" w14:textId="77777777" w:rsidR="00795625" w:rsidRPr="00A8664F" w:rsidRDefault="00795625" w:rsidP="00065F60">
      <w:pPr>
        <w:widowControl w:val="0"/>
        <w:spacing w:after="0" w:line="276" w:lineRule="auto"/>
        <w:jc w:val="both"/>
        <w:rPr>
          <w:rFonts w:asciiTheme="majorBidi" w:eastAsia="Times New Roman" w:hAnsiTheme="majorBidi" w:cstheme="majorBidi"/>
          <w:color w:val="000000"/>
          <w:sz w:val="24"/>
          <w:szCs w:val="24"/>
        </w:rPr>
      </w:pPr>
    </w:p>
    <w:p w14:paraId="219FA49E" w14:textId="047B0D01" w:rsidR="00AD1481" w:rsidRPr="00A8664F" w:rsidRDefault="00032031" w:rsidP="00065F60">
      <w:pPr>
        <w:widowControl w:val="0"/>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Table 1. Design and Characteristics of the Included Studies</w:t>
      </w:r>
    </w:p>
    <w:p w14:paraId="7A79B0F0" w14:textId="77777777" w:rsidR="00032031" w:rsidRPr="00A8664F" w:rsidRDefault="00032031" w:rsidP="00065F60">
      <w:pPr>
        <w:widowControl w:val="0"/>
        <w:spacing w:after="0" w:line="276" w:lineRule="auto"/>
        <w:jc w:val="both"/>
        <w:rPr>
          <w:rFonts w:asciiTheme="majorBidi" w:eastAsia="Times New Roman" w:hAnsiTheme="majorBidi" w:cstheme="majorBidi"/>
          <w:b/>
          <w:bCs/>
          <w:color w:val="000000"/>
          <w:sz w:val="24"/>
          <w:szCs w:val="24"/>
        </w:rPr>
      </w:pPr>
    </w:p>
    <w:tbl>
      <w:tblPr>
        <w:tblStyle w:val="a"/>
        <w:tblW w:w="11070" w:type="dxa"/>
        <w:tblInd w:w="-900" w:type="dxa"/>
        <w:tblBorders>
          <w:top w:val="single" w:sz="4" w:space="0" w:color="000000"/>
          <w:bottom w:val="single" w:sz="4" w:space="0" w:color="000000"/>
          <w:insideH w:val="single" w:sz="4" w:space="0" w:color="999999"/>
        </w:tblBorders>
        <w:tblLayout w:type="fixed"/>
        <w:tblLook w:val="0400" w:firstRow="0" w:lastRow="0" w:firstColumn="0" w:lastColumn="0" w:noHBand="0" w:noVBand="1"/>
      </w:tblPr>
      <w:tblGrid>
        <w:gridCol w:w="1335"/>
        <w:gridCol w:w="1005"/>
        <w:gridCol w:w="1080"/>
        <w:gridCol w:w="853"/>
        <w:gridCol w:w="1148"/>
        <w:gridCol w:w="1224"/>
        <w:gridCol w:w="810"/>
        <w:gridCol w:w="1080"/>
        <w:gridCol w:w="1150"/>
        <w:gridCol w:w="1385"/>
      </w:tblGrid>
      <w:tr w:rsidR="002C1C89" w:rsidRPr="00A8664F" w14:paraId="58BD6C9A" w14:textId="77777777" w:rsidTr="00032031">
        <w:trPr>
          <w:trHeight w:val="621"/>
          <w:tblHeader/>
        </w:trPr>
        <w:tc>
          <w:tcPr>
            <w:tcW w:w="1335"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4574CCF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Study</w:t>
            </w:r>
          </w:p>
          <w:p w14:paraId="2CE85210"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(Author, Year)</w:t>
            </w:r>
          </w:p>
        </w:tc>
        <w:tc>
          <w:tcPr>
            <w:tcW w:w="1005"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67A0EEF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Country</w:t>
            </w:r>
          </w:p>
        </w:tc>
        <w:tc>
          <w:tcPr>
            <w:tcW w:w="1080"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23FCCB6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Study Design</w:t>
            </w:r>
          </w:p>
        </w:tc>
        <w:tc>
          <w:tcPr>
            <w:tcW w:w="853"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34132AE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Follow-up</w:t>
            </w:r>
          </w:p>
          <w:p w14:paraId="5E625BAD"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Duration</w:t>
            </w:r>
          </w:p>
        </w:tc>
        <w:tc>
          <w:tcPr>
            <w:tcW w:w="1148"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7E63E1AC"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Sample Size, n</w:t>
            </w:r>
          </w:p>
          <w:p w14:paraId="58D57DE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w:t>
            </w:r>
            <w:proofErr w:type="spellStart"/>
            <w:r w:rsidRPr="00A8664F">
              <w:rPr>
                <w:rFonts w:asciiTheme="majorBidi" w:eastAsia="Times New Roman" w:hAnsiTheme="majorBidi" w:cstheme="majorBidi"/>
                <w:b/>
                <w:bCs/>
                <w:color w:val="000000"/>
                <w:sz w:val="24"/>
                <w:szCs w:val="24"/>
              </w:rPr>
              <w:t>Nebivolol</w:t>
            </w:r>
            <w:proofErr w:type="spellEnd"/>
            <w:r w:rsidRPr="00A8664F">
              <w:rPr>
                <w:rFonts w:asciiTheme="majorBidi" w:eastAsia="Times New Roman" w:hAnsiTheme="majorBidi" w:cstheme="majorBidi"/>
                <w:b/>
                <w:bCs/>
                <w:color w:val="000000"/>
                <w:sz w:val="24"/>
                <w:szCs w:val="24"/>
              </w:rPr>
              <w:t>/Control)</w:t>
            </w:r>
          </w:p>
        </w:tc>
        <w:tc>
          <w:tcPr>
            <w:tcW w:w="1224"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114C72B8"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Mean Age, years</w:t>
            </w:r>
          </w:p>
          <w:p w14:paraId="3CD9C83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w:t>
            </w:r>
            <w:proofErr w:type="spellStart"/>
            <w:r w:rsidRPr="00A8664F">
              <w:rPr>
                <w:rFonts w:asciiTheme="majorBidi" w:eastAsia="Times New Roman" w:hAnsiTheme="majorBidi" w:cstheme="majorBidi"/>
                <w:b/>
                <w:bCs/>
                <w:color w:val="000000"/>
                <w:sz w:val="24"/>
                <w:szCs w:val="24"/>
              </w:rPr>
              <w:t>Nebivolol</w:t>
            </w:r>
            <w:proofErr w:type="spellEnd"/>
            <w:r w:rsidRPr="00A8664F">
              <w:rPr>
                <w:rFonts w:asciiTheme="majorBidi" w:eastAsia="Times New Roman" w:hAnsiTheme="majorBidi" w:cstheme="majorBidi"/>
                <w:b/>
                <w:bCs/>
                <w:color w:val="000000"/>
                <w:sz w:val="24"/>
                <w:szCs w:val="24"/>
              </w:rPr>
              <w:t>/Control)</w:t>
            </w:r>
          </w:p>
        </w:tc>
        <w:tc>
          <w:tcPr>
            <w:tcW w:w="810"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09E30236"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Female,</w:t>
            </w:r>
          </w:p>
          <w:p w14:paraId="64D87A60"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w:t>
            </w:r>
          </w:p>
        </w:tc>
        <w:tc>
          <w:tcPr>
            <w:tcW w:w="1080"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5FDBADE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Doxorubicin</w:t>
            </w:r>
          </w:p>
          <w:p w14:paraId="09AA9E5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Exposure, %</w:t>
            </w:r>
          </w:p>
        </w:tc>
        <w:tc>
          <w:tcPr>
            <w:tcW w:w="1150"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7189C81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Intervention</w:t>
            </w:r>
          </w:p>
        </w:tc>
        <w:tc>
          <w:tcPr>
            <w:tcW w:w="1385" w:type="dxa"/>
            <w:tcBorders>
              <w:top w:val="single" w:sz="4" w:space="0" w:color="000000"/>
              <w:left w:val="nil"/>
              <w:bottom w:val="single" w:sz="4" w:space="0" w:color="999999"/>
              <w:right w:val="nil"/>
            </w:tcBorders>
            <w:shd w:val="clear" w:color="auto" w:fill="D9E2F3"/>
            <w:tcMar>
              <w:top w:w="60" w:type="dxa"/>
              <w:left w:w="80" w:type="dxa"/>
              <w:bottom w:w="60" w:type="dxa"/>
              <w:right w:w="80" w:type="dxa"/>
            </w:tcMar>
            <w:vAlign w:val="center"/>
          </w:tcPr>
          <w:p w14:paraId="4DCD5186"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b/>
                <w:bCs/>
                <w:color w:val="000000"/>
                <w:sz w:val="24"/>
                <w:szCs w:val="24"/>
              </w:rPr>
              <w:t>Comparator</w:t>
            </w:r>
          </w:p>
        </w:tc>
      </w:tr>
      <w:tr w:rsidR="002C1C89" w:rsidRPr="00A8664F" w14:paraId="1F0F4BA4" w14:textId="77777777" w:rsidTr="00032031">
        <w:trPr>
          <w:trHeight w:val="405"/>
        </w:trPr>
        <w:tc>
          <w:tcPr>
            <w:tcW w:w="133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75FC3180"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Cochera</w:t>
            </w:r>
            <w:proofErr w:type="spellEnd"/>
            <w:r w:rsidRPr="00A8664F">
              <w:rPr>
                <w:rFonts w:asciiTheme="majorBidi" w:eastAsia="Times New Roman" w:hAnsiTheme="majorBidi" w:cstheme="majorBidi"/>
                <w:color w:val="000000"/>
                <w:sz w:val="24"/>
                <w:szCs w:val="24"/>
              </w:rPr>
              <w:t xml:space="preserve"> 2018</w:t>
            </w:r>
          </w:p>
        </w:tc>
        <w:tc>
          <w:tcPr>
            <w:tcW w:w="100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6703E85E"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Romania</w:t>
            </w:r>
          </w:p>
        </w:tc>
        <w:tc>
          <w:tcPr>
            <w:tcW w:w="108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1BF65B8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Prospective RCT</w:t>
            </w:r>
          </w:p>
        </w:tc>
        <w:tc>
          <w:tcPr>
            <w:tcW w:w="853"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55213948"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3.5–4 months</w:t>
            </w:r>
          </w:p>
        </w:tc>
        <w:tc>
          <w:tcPr>
            <w:tcW w:w="1148"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769F5BB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30/30</w:t>
            </w:r>
          </w:p>
        </w:tc>
        <w:tc>
          <w:tcPr>
            <w:tcW w:w="1224"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5A8D7BA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53±13 / 52±11</w:t>
            </w:r>
          </w:p>
        </w:tc>
        <w:tc>
          <w:tcPr>
            <w:tcW w:w="81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00CD944E"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100/100</w:t>
            </w:r>
          </w:p>
        </w:tc>
        <w:tc>
          <w:tcPr>
            <w:tcW w:w="108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69BF379F"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100/100</w:t>
            </w:r>
          </w:p>
        </w:tc>
        <w:tc>
          <w:tcPr>
            <w:tcW w:w="115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67C5ACF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5 mg/day</w:t>
            </w:r>
          </w:p>
          <w:p w14:paraId="2588B195"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(fixed dose)</w:t>
            </w:r>
          </w:p>
        </w:tc>
        <w:tc>
          <w:tcPr>
            <w:tcW w:w="138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081169A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No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administered</w:t>
            </w:r>
          </w:p>
        </w:tc>
      </w:tr>
      <w:tr w:rsidR="002C1C89" w:rsidRPr="00A8664F" w14:paraId="485DAAC5" w14:textId="77777777" w:rsidTr="00032031">
        <w:trPr>
          <w:trHeight w:val="418"/>
        </w:trPr>
        <w:tc>
          <w:tcPr>
            <w:tcW w:w="133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28D5A4D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Kaya 2013</w:t>
            </w:r>
          </w:p>
        </w:tc>
        <w:tc>
          <w:tcPr>
            <w:tcW w:w="100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2722039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Turkey</w:t>
            </w:r>
          </w:p>
        </w:tc>
        <w:tc>
          <w:tcPr>
            <w:tcW w:w="108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5EF124ED"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Prospective RCT</w:t>
            </w:r>
          </w:p>
        </w:tc>
        <w:tc>
          <w:tcPr>
            <w:tcW w:w="853"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64228D35"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6 months</w:t>
            </w:r>
          </w:p>
        </w:tc>
        <w:tc>
          <w:tcPr>
            <w:tcW w:w="1148"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1C9026C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27/18</w:t>
            </w:r>
          </w:p>
        </w:tc>
        <w:tc>
          <w:tcPr>
            <w:tcW w:w="1224"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612CC28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51.4±9.4 / 50.5±11.1</w:t>
            </w:r>
          </w:p>
        </w:tc>
        <w:tc>
          <w:tcPr>
            <w:tcW w:w="81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0D2EFF1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100/100</w:t>
            </w:r>
          </w:p>
        </w:tc>
        <w:tc>
          <w:tcPr>
            <w:tcW w:w="108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5EFD1DF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26 (7)/33 (6)</w:t>
            </w:r>
          </w:p>
        </w:tc>
        <w:tc>
          <w:tcPr>
            <w:tcW w:w="115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2F72D22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5 mg/day</w:t>
            </w:r>
          </w:p>
          <w:p w14:paraId="62F460E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(fixed dose)</w:t>
            </w:r>
          </w:p>
        </w:tc>
        <w:tc>
          <w:tcPr>
            <w:tcW w:w="138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5436761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Placebo</w:t>
            </w:r>
          </w:p>
        </w:tc>
      </w:tr>
      <w:tr w:rsidR="002C1C89" w:rsidRPr="00A8664F" w14:paraId="43898865" w14:textId="77777777" w:rsidTr="00032031">
        <w:trPr>
          <w:trHeight w:val="405"/>
        </w:trPr>
        <w:tc>
          <w:tcPr>
            <w:tcW w:w="133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4C6D33E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Rudrapogu</w:t>
            </w:r>
            <w:proofErr w:type="spellEnd"/>
            <w:r w:rsidRPr="00A8664F">
              <w:rPr>
                <w:rFonts w:asciiTheme="majorBidi" w:eastAsia="Times New Roman" w:hAnsiTheme="majorBidi" w:cstheme="majorBidi"/>
                <w:color w:val="000000"/>
                <w:sz w:val="24"/>
                <w:szCs w:val="24"/>
              </w:rPr>
              <w:t xml:space="preserve"> 2019</w:t>
            </w:r>
          </w:p>
        </w:tc>
        <w:tc>
          <w:tcPr>
            <w:tcW w:w="100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146D648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India</w:t>
            </w:r>
          </w:p>
        </w:tc>
        <w:tc>
          <w:tcPr>
            <w:tcW w:w="108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43B5BA86"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Prospective RCT</w:t>
            </w:r>
          </w:p>
        </w:tc>
        <w:tc>
          <w:tcPr>
            <w:tcW w:w="853"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740D38BE" w14:textId="2F9E1C1E"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6 months</w:t>
            </w:r>
          </w:p>
        </w:tc>
        <w:tc>
          <w:tcPr>
            <w:tcW w:w="1148"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3A46D02D"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40/40</w:t>
            </w:r>
          </w:p>
        </w:tc>
        <w:tc>
          <w:tcPr>
            <w:tcW w:w="1224"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49AD31A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48.6±8.4 / 49.2±9.8</w:t>
            </w:r>
          </w:p>
        </w:tc>
        <w:tc>
          <w:tcPr>
            <w:tcW w:w="81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1455BAD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100/100</w:t>
            </w:r>
          </w:p>
        </w:tc>
        <w:tc>
          <w:tcPr>
            <w:tcW w:w="108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37ECA8C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100/100</w:t>
            </w:r>
          </w:p>
        </w:tc>
        <w:tc>
          <w:tcPr>
            <w:tcW w:w="1150"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0D13FE1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5 mg/day</w:t>
            </w:r>
          </w:p>
          <w:p w14:paraId="53076E6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(fixed dose)</w:t>
            </w:r>
          </w:p>
        </w:tc>
        <w:tc>
          <w:tcPr>
            <w:tcW w:w="1385" w:type="dxa"/>
            <w:tcBorders>
              <w:top w:val="single" w:sz="4" w:space="0" w:color="999999"/>
              <w:left w:val="nil"/>
              <w:bottom w:val="single" w:sz="4" w:space="0" w:color="999999"/>
              <w:right w:val="nil"/>
            </w:tcBorders>
            <w:tcMar>
              <w:top w:w="60" w:type="dxa"/>
              <w:left w:w="80" w:type="dxa"/>
              <w:bottom w:w="60" w:type="dxa"/>
              <w:right w:w="80" w:type="dxa"/>
            </w:tcMar>
            <w:vAlign w:val="center"/>
          </w:tcPr>
          <w:p w14:paraId="5F2257A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Placebo</w:t>
            </w:r>
          </w:p>
        </w:tc>
      </w:tr>
      <w:tr w:rsidR="002C1C89" w:rsidRPr="00A8664F" w14:paraId="4B701D66" w14:textId="77777777" w:rsidTr="00032031">
        <w:trPr>
          <w:trHeight w:val="418"/>
        </w:trPr>
        <w:tc>
          <w:tcPr>
            <w:tcW w:w="1335"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0E4265A8"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w:t>
            </w:r>
          </w:p>
        </w:tc>
        <w:tc>
          <w:tcPr>
            <w:tcW w:w="1005"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2442A524"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Italy</w:t>
            </w:r>
          </w:p>
        </w:tc>
        <w:tc>
          <w:tcPr>
            <w:tcW w:w="1080"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2BC61804"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RCT</w:t>
            </w:r>
          </w:p>
        </w:tc>
        <w:tc>
          <w:tcPr>
            <w:tcW w:w="853"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7367B843" w14:textId="03BDEAB3"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12 months</w:t>
            </w:r>
          </w:p>
        </w:tc>
        <w:tc>
          <w:tcPr>
            <w:tcW w:w="1148"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6D14D28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40/40</w:t>
            </w:r>
          </w:p>
        </w:tc>
        <w:tc>
          <w:tcPr>
            <w:tcW w:w="1224"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52DC9BE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NR</w:t>
            </w:r>
          </w:p>
        </w:tc>
        <w:tc>
          <w:tcPr>
            <w:tcW w:w="810"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7456665A" w14:textId="57EBD14D" w:rsidR="002C1C89" w:rsidRPr="00A8664F" w:rsidRDefault="00032031"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70</w:t>
            </w:r>
          </w:p>
        </w:tc>
        <w:tc>
          <w:tcPr>
            <w:tcW w:w="1080"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31A17EAF"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NR†</w:t>
            </w:r>
          </w:p>
        </w:tc>
        <w:tc>
          <w:tcPr>
            <w:tcW w:w="1150"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1B85E04F"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5 mg/day</w:t>
            </w:r>
          </w:p>
          <w:p w14:paraId="79FAFD4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(fixed dose)</w:t>
            </w:r>
          </w:p>
        </w:tc>
        <w:tc>
          <w:tcPr>
            <w:tcW w:w="1385" w:type="dxa"/>
            <w:tcBorders>
              <w:top w:val="single" w:sz="4" w:space="0" w:color="999999"/>
              <w:left w:val="nil"/>
              <w:bottom w:val="single" w:sz="4" w:space="0" w:color="000000"/>
              <w:right w:val="nil"/>
            </w:tcBorders>
            <w:tcMar>
              <w:top w:w="60" w:type="dxa"/>
              <w:left w:w="80" w:type="dxa"/>
              <w:bottom w:w="60" w:type="dxa"/>
              <w:right w:w="80" w:type="dxa"/>
            </w:tcMar>
            <w:vAlign w:val="center"/>
          </w:tcPr>
          <w:p w14:paraId="2CD3910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Placebo</w:t>
            </w:r>
          </w:p>
        </w:tc>
      </w:tr>
    </w:tbl>
    <w:p w14:paraId="2724BA0F" w14:textId="77777777" w:rsidR="002C1C89" w:rsidRPr="00A8664F" w:rsidRDefault="002C1C89" w:rsidP="00065F60">
      <w:pPr>
        <w:widowControl w:val="0"/>
        <w:spacing w:after="0" w:line="276" w:lineRule="auto"/>
        <w:jc w:val="both"/>
        <w:rPr>
          <w:rFonts w:asciiTheme="majorBidi" w:eastAsia="Times New Roman" w:hAnsiTheme="majorBidi" w:cstheme="majorBidi"/>
          <w:color w:val="000000"/>
          <w:sz w:val="24"/>
          <w:szCs w:val="24"/>
        </w:rPr>
      </w:pPr>
    </w:p>
    <w:p w14:paraId="4702896C" w14:textId="6F0A4199" w:rsidR="002C1C89" w:rsidRPr="00A8664F" w:rsidRDefault="00110E0D" w:rsidP="00065F60">
      <w:pPr>
        <w:widowControl w:val="0"/>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i/>
          <w:iCs/>
          <w:color w:val="000000"/>
          <w:sz w:val="24"/>
          <w:szCs w:val="24"/>
        </w:rPr>
        <w:t>RCT, randomized controlled trial; NR, not reported.</w:t>
      </w:r>
      <w:r w:rsidR="002E10B3" w:rsidRPr="00A8664F">
        <w:rPr>
          <w:rFonts w:asciiTheme="majorBidi" w:eastAsia="Times New Roman" w:hAnsiTheme="majorBidi" w:cstheme="majorBidi"/>
          <w:i/>
          <w:iCs/>
          <w:color w:val="000000"/>
          <w:sz w:val="24"/>
          <w:szCs w:val="24"/>
        </w:rPr>
        <w:t xml:space="preserve"> </w:t>
      </w:r>
      <w:r w:rsidRPr="00A8664F">
        <w:rPr>
          <w:rFonts w:asciiTheme="majorBidi" w:eastAsia="Times New Roman" w:hAnsiTheme="majorBidi" w:cstheme="majorBidi"/>
          <w:i/>
          <w:iCs/>
          <w:color w:val="000000"/>
          <w:sz w:val="24"/>
          <w:szCs w:val="24"/>
        </w:rPr>
        <w:t>†Doxorubicin dose, cumulative exposure, or proportion of patients exposed was not reported in the original article</w:t>
      </w:r>
    </w:p>
    <w:p w14:paraId="475EC203" w14:textId="77777777" w:rsidR="002C1C89" w:rsidRPr="00A8664F" w:rsidRDefault="002C1C89" w:rsidP="00065F60">
      <w:pPr>
        <w:widowControl w:val="0"/>
        <w:spacing w:after="0" w:line="276" w:lineRule="auto"/>
        <w:jc w:val="both"/>
        <w:rPr>
          <w:rFonts w:asciiTheme="majorBidi" w:eastAsia="Times New Roman" w:hAnsiTheme="majorBidi" w:cstheme="majorBidi"/>
          <w:color w:val="000000"/>
          <w:sz w:val="24"/>
          <w:szCs w:val="24"/>
        </w:rPr>
      </w:pPr>
    </w:p>
    <w:p w14:paraId="1945B566" w14:textId="77777777" w:rsidR="002C1C89" w:rsidRPr="00A8664F" w:rsidRDefault="002C1C89" w:rsidP="00065F60">
      <w:pPr>
        <w:widowControl w:val="0"/>
        <w:spacing w:after="0" w:line="276" w:lineRule="auto"/>
        <w:jc w:val="both"/>
        <w:rPr>
          <w:rFonts w:asciiTheme="majorBidi" w:eastAsia="Times New Roman" w:hAnsiTheme="majorBidi" w:cstheme="majorBidi"/>
          <w:color w:val="000000"/>
          <w:sz w:val="24"/>
          <w:szCs w:val="24"/>
        </w:rPr>
      </w:pPr>
    </w:p>
    <w:p w14:paraId="224CC866" w14:textId="77777777" w:rsidR="002C1C89" w:rsidRPr="00A8664F" w:rsidRDefault="002C1C89" w:rsidP="00065F60">
      <w:pPr>
        <w:widowControl w:val="0"/>
        <w:spacing w:after="0" w:line="276" w:lineRule="auto"/>
        <w:jc w:val="both"/>
        <w:rPr>
          <w:rFonts w:asciiTheme="majorBidi" w:eastAsia="Times New Roman" w:hAnsiTheme="majorBidi" w:cstheme="majorBidi"/>
          <w:color w:val="000000"/>
          <w:sz w:val="24"/>
          <w:szCs w:val="24"/>
        </w:rPr>
      </w:pPr>
    </w:p>
    <w:p w14:paraId="76B0A953" w14:textId="77777777" w:rsidR="002C1C89" w:rsidRPr="00A8664F" w:rsidRDefault="00110E0D" w:rsidP="00065F60">
      <w:pPr>
        <w:widowControl w:val="0"/>
        <w:spacing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3.3 Risk of Bias in Included studies</w:t>
      </w:r>
    </w:p>
    <w:p w14:paraId="725CBECC" w14:textId="77777777" w:rsidR="002C1C89" w:rsidRPr="00A8664F" w:rsidRDefault="002C1C89" w:rsidP="00065F60">
      <w:pPr>
        <w:widowControl w:val="0"/>
        <w:spacing w:after="0" w:line="276" w:lineRule="auto"/>
        <w:jc w:val="both"/>
        <w:rPr>
          <w:rFonts w:asciiTheme="majorBidi" w:eastAsia="Times New Roman" w:hAnsiTheme="majorBidi" w:cstheme="majorBidi"/>
          <w:color w:val="000000"/>
          <w:sz w:val="24"/>
          <w:szCs w:val="24"/>
        </w:rPr>
      </w:pPr>
    </w:p>
    <w:p w14:paraId="3282E513" w14:textId="0B170697" w:rsidR="002C1C89" w:rsidRPr="00A8664F" w:rsidRDefault="00110E0D" w:rsidP="00065F60">
      <w:pPr>
        <w:widowControl w:val="0"/>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Assessment with </w:t>
      </w:r>
      <w:proofErr w:type="spellStart"/>
      <w:r w:rsidRPr="00A8664F">
        <w:rPr>
          <w:rFonts w:asciiTheme="majorBidi" w:eastAsia="Times New Roman" w:hAnsiTheme="majorBidi" w:cstheme="majorBidi"/>
          <w:color w:val="000000"/>
          <w:sz w:val="24"/>
          <w:szCs w:val="24"/>
        </w:rPr>
        <w:t>RoB</w:t>
      </w:r>
      <w:proofErr w:type="spellEnd"/>
      <w:r w:rsidRPr="00A8664F">
        <w:rPr>
          <w:rFonts w:asciiTheme="majorBidi" w:eastAsia="Times New Roman" w:hAnsiTheme="majorBidi" w:cstheme="majorBidi"/>
          <w:color w:val="000000"/>
          <w:sz w:val="24"/>
          <w:szCs w:val="24"/>
        </w:rPr>
        <w:t xml:space="preserve"> 2.0 identified no major risk of bias with low risk of bias in two studies; Kaya 2013 and </w:t>
      </w: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 The remaining two studies highlighted some concerns, mainly related to randomization process (D1) and selection of reported result (D5). No study was assessed to be at high overall risk of bias. </w:t>
      </w:r>
      <w:r w:rsidR="00C66FFF" w:rsidRPr="00A8664F">
        <w:rPr>
          <w:rFonts w:asciiTheme="majorBidi" w:eastAsia="Times New Roman" w:hAnsiTheme="majorBidi" w:cstheme="majorBidi"/>
          <w:color w:val="000000"/>
          <w:sz w:val="24"/>
          <w:szCs w:val="24"/>
        </w:rPr>
        <w:t>The domain-level and overall risk-of-bias judgments are summarized in Supplementary Figure S1.</w:t>
      </w:r>
    </w:p>
    <w:p w14:paraId="66C2E7B3" w14:textId="77777777" w:rsidR="00C24DEF" w:rsidRPr="00A8664F" w:rsidRDefault="00C24DEF" w:rsidP="00065F60">
      <w:pPr>
        <w:widowControl w:val="0"/>
        <w:spacing w:after="0" w:line="276" w:lineRule="auto"/>
        <w:jc w:val="both"/>
        <w:rPr>
          <w:rFonts w:asciiTheme="majorBidi" w:eastAsia="Times New Roman" w:hAnsiTheme="majorBidi" w:cstheme="majorBidi"/>
          <w:color w:val="000000"/>
          <w:sz w:val="24"/>
          <w:szCs w:val="24"/>
        </w:rPr>
      </w:pPr>
    </w:p>
    <w:p w14:paraId="7DCF9BD9" w14:textId="5E3FB2D7" w:rsidR="00C66FFF"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3.4 Result of META analysis</w:t>
      </w:r>
    </w:p>
    <w:p w14:paraId="721EF6EA" w14:textId="77777777" w:rsidR="002C1C89" w:rsidRPr="00A8664F" w:rsidRDefault="00110E0D" w:rsidP="00065F60">
      <w:pPr>
        <w:spacing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3.4.1 Primary outcome</w:t>
      </w:r>
    </w:p>
    <w:p w14:paraId="4E677B19" w14:textId="135B6BEF" w:rsidR="006A33B7" w:rsidRPr="00A8664F" w:rsidRDefault="00795625" w:rsidP="00065F60">
      <w:pPr>
        <w:spacing w:after="0" w:line="276" w:lineRule="auto"/>
        <w:jc w:val="both"/>
        <w:rPr>
          <w:rFonts w:asciiTheme="majorBidi" w:eastAsia="Times New Roman" w:hAnsiTheme="majorBidi" w:cstheme="majorBidi"/>
          <w:color w:val="000000"/>
          <w:sz w:val="24"/>
          <w:szCs w:val="24"/>
        </w:rPr>
        <w:sectPr w:rsidR="006A33B7" w:rsidRPr="00A8664F" w:rsidSect="00AD1481">
          <w:pgSz w:w="12240" w:h="15840"/>
          <w:pgMar w:top="1440" w:right="1440" w:bottom="1440" w:left="1440" w:header="720" w:footer="720" w:gutter="0"/>
          <w:pgNumType w:start="1"/>
          <w:cols w:space="720"/>
          <w:docGrid w:linePitch="299"/>
        </w:sectPr>
      </w:pPr>
      <w:r w:rsidRPr="00A8664F">
        <w:rPr>
          <w:rFonts w:asciiTheme="majorBidi" w:eastAsia="Times New Roman" w:hAnsiTheme="majorBidi" w:cstheme="majorBidi"/>
          <w:color w:val="000000"/>
          <w:sz w:val="24"/>
          <w:szCs w:val="24"/>
        </w:rPr>
        <w:t>The certainty of evidence for each outcome was assessed using the GRADE framework across the domains of risk of bias, inconsistency, indirectness, imprecision, and publication bias. Funnel plots and formal statistical tests for small-study effects were not performed because fewer than 10 studies were available for each outcome.</w:t>
      </w:r>
      <w:r w:rsidR="00C66FFF" w:rsidRPr="00A8664F">
        <w:rPr>
          <w:rFonts w:asciiTheme="majorBidi" w:eastAsia="Times New Roman" w:hAnsiTheme="majorBidi" w:cstheme="majorBidi"/>
          <w:color w:val="000000"/>
          <w:sz w:val="24"/>
          <w:szCs w:val="24"/>
        </w:rPr>
        <w:t xml:space="preserve"> The certainty-of-evidence assessments for all outcomes are presented in Supplementary Table S3</w:t>
      </w:r>
      <w:r w:rsidR="00C24DEF" w:rsidRPr="00A8664F">
        <w:rPr>
          <w:rFonts w:asciiTheme="majorBidi" w:eastAsia="Times New Roman" w:hAnsiTheme="majorBidi" w:cstheme="majorBidi"/>
          <w:color w:val="000000"/>
          <w:sz w:val="24"/>
          <w:szCs w:val="24"/>
        </w:rPr>
        <w:t xml:space="preserve">. </w:t>
      </w:r>
    </w:p>
    <w:p w14:paraId="669FF120" w14:textId="1789B0DC"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Final left ventricular ejection fraction (LVEF)</w:t>
      </w:r>
    </w:p>
    <w:p w14:paraId="1A6F80BA" w14:textId="23FE5A15" w:rsidR="00795625" w:rsidRPr="00A8664F" w:rsidRDefault="00795625"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Across four studies comprising 257 participants, final LVEF was numerically higher with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however, the pooled difference was not statistically significant (MD 2.13, 95% CI −2.18 to 6.43; P=0.21)</w:t>
      </w:r>
      <w:r w:rsidR="00C66FFF" w:rsidRPr="00A8664F">
        <w:rPr>
          <w:rFonts w:asciiTheme="majorBidi" w:eastAsia="Times New Roman" w:hAnsiTheme="majorBidi" w:cstheme="majorBidi"/>
          <w:color w:val="000000"/>
          <w:sz w:val="24"/>
          <w:szCs w:val="24"/>
        </w:rPr>
        <w:t xml:space="preserve"> (Figure 2)</w:t>
      </w:r>
      <w:r w:rsidRPr="00A8664F">
        <w:rPr>
          <w:rFonts w:asciiTheme="majorBidi" w:eastAsia="Times New Roman" w:hAnsiTheme="majorBidi" w:cstheme="majorBidi"/>
          <w:color w:val="000000"/>
          <w:sz w:val="24"/>
          <w:szCs w:val="24"/>
        </w:rPr>
        <w:t>. Substantial heterogeneity was present (I²=82%, P=0.004). Kaya 2013 reported the largest individual effect and was the principal contributor to heterogeneity</w:t>
      </w:r>
      <w:r w:rsidR="00AD1481" w:rsidRPr="00A8664F">
        <w:rPr>
          <w:rFonts w:asciiTheme="majorBidi" w:eastAsia="Times New Roman" w:hAnsiTheme="majorBidi" w:cstheme="majorBidi"/>
          <w:color w:val="000000"/>
          <w:sz w:val="24"/>
          <w:szCs w:val="24"/>
        </w:rPr>
        <w:t xml:space="preserve"> </w:t>
      </w:r>
      <w:r w:rsidR="002E10B3" w:rsidRPr="00A8664F">
        <w:rPr>
          <w:rFonts w:asciiTheme="majorBidi" w:eastAsia="Times New Roman" w:hAnsiTheme="majorBidi" w:cstheme="majorBidi"/>
          <w:color w:val="000000"/>
          <w:sz w:val="24"/>
          <w:szCs w:val="24"/>
        </w:rPr>
        <w:t xml:space="preserve">(Table 2); </w:t>
      </w:r>
      <w:r w:rsidRPr="00A8664F">
        <w:rPr>
          <w:rFonts w:asciiTheme="majorBidi" w:eastAsia="Times New Roman" w:hAnsiTheme="majorBidi" w:cstheme="majorBidi"/>
          <w:color w:val="000000"/>
          <w:sz w:val="24"/>
          <w:szCs w:val="24"/>
        </w:rPr>
        <w:t>after its exclusion, heterogeneity decreased to I²=0% while the pooled effect remained statistically non-significant (MD 0.70, 95% CI −1.03 to 2.42)</w:t>
      </w:r>
      <w:r w:rsidR="00C66FFF" w:rsidRPr="00A8664F">
        <w:rPr>
          <w:rFonts w:asciiTheme="majorBidi" w:eastAsia="Times New Roman" w:hAnsiTheme="majorBidi" w:cstheme="majorBidi"/>
          <w:color w:val="000000"/>
          <w:sz w:val="24"/>
          <w:szCs w:val="24"/>
        </w:rPr>
        <w:t>.</w:t>
      </w:r>
    </w:p>
    <w:p w14:paraId="07B1C375" w14:textId="6F3D36E2"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r w:rsidRPr="00A8664F">
        <w:rPr>
          <w:rFonts w:asciiTheme="majorBidi" w:eastAsia="Times New Roman" w:hAnsiTheme="majorBidi" w:cstheme="majorBidi"/>
          <w:noProof/>
          <w:color w:val="000000"/>
          <w:sz w:val="24"/>
          <w:szCs w:val="24"/>
        </w:rPr>
        <w:drawing>
          <wp:inline distT="0" distB="0" distL="0" distR="0" wp14:anchorId="5CC80498" wp14:editId="0065282B">
            <wp:extent cx="5943600" cy="221678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2216785"/>
                    </a:xfrm>
                    <a:prstGeom prst="rect">
                      <a:avLst/>
                    </a:prstGeom>
                    <a:ln/>
                  </pic:spPr>
                </pic:pic>
              </a:graphicData>
            </a:graphic>
          </wp:inline>
        </w:drawing>
      </w:r>
    </w:p>
    <w:p w14:paraId="6DC27AA7" w14:textId="5B3264CB" w:rsidR="00C66FFF" w:rsidRPr="00A8664F" w:rsidRDefault="00C66FFF"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Figure 2. Forest plot comparing final left ventricular ejection fraction (LVEF) between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placebo/no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using a random-effects HKSJ model.</w:t>
      </w:r>
    </w:p>
    <w:p w14:paraId="49A40BF0"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p>
    <w:p w14:paraId="356AC503" w14:textId="40E48DFC"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r w:rsidR="001170B3" w:rsidRPr="00A8664F">
        <w:rPr>
          <w:rFonts w:asciiTheme="majorBidi" w:eastAsia="Times New Roman" w:hAnsiTheme="majorBidi" w:cstheme="majorBidi"/>
          <w:color w:val="000000"/>
          <w:sz w:val="24"/>
          <w:szCs w:val="24"/>
        </w:rPr>
        <w:t xml:space="preserve">Table </w:t>
      </w:r>
      <w:r w:rsidR="00AD1481" w:rsidRPr="00A8664F">
        <w:rPr>
          <w:rFonts w:asciiTheme="majorBidi" w:eastAsia="Times New Roman" w:hAnsiTheme="majorBidi" w:cstheme="majorBidi"/>
          <w:color w:val="000000"/>
          <w:sz w:val="24"/>
          <w:szCs w:val="24"/>
        </w:rPr>
        <w:t>2</w:t>
      </w:r>
      <w:r w:rsidR="001170B3" w:rsidRPr="00A8664F">
        <w:rPr>
          <w:rFonts w:asciiTheme="majorBidi" w:eastAsia="Times New Roman" w:hAnsiTheme="majorBidi" w:cstheme="majorBidi"/>
          <w:color w:val="000000"/>
          <w:sz w:val="24"/>
          <w:szCs w:val="24"/>
        </w:rPr>
        <w:t xml:space="preserve">. </w:t>
      </w:r>
      <w:r w:rsidRPr="00A8664F">
        <w:rPr>
          <w:rFonts w:asciiTheme="majorBidi" w:eastAsia="Times New Roman" w:hAnsiTheme="majorBidi" w:cstheme="majorBidi"/>
          <w:color w:val="000000"/>
          <w:sz w:val="24"/>
          <w:szCs w:val="24"/>
        </w:rPr>
        <w:t xml:space="preserve"> Leave-one-out sensitivity analysis of Final LVEF</w:t>
      </w:r>
    </w:p>
    <w:tbl>
      <w:tblPr>
        <w:tblStyle w:val="a1"/>
        <w:tblW w:w="8000" w:type="dxa"/>
        <w:tblInd w:w="991" w:type="dxa"/>
        <w:tblLayout w:type="fixed"/>
        <w:tblLook w:val="0400" w:firstRow="0" w:lastRow="0" w:firstColumn="0" w:lastColumn="0" w:noHBand="0" w:noVBand="1"/>
      </w:tblPr>
      <w:tblGrid>
        <w:gridCol w:w="2491"/>
        <w:gridCol w:w="1370"/>
        <w:gridCol w:w="1061"/>
        <w:gridCol w:w="653"/>
        <w:gridCol w:w="2425"/>
      </w:tblGrid>
      <w:tr w:rsidR="002C1C89" w:rsidRPr="00A8664F" w14:paraId="26FFB23A" w14:textId="77777777">
        <w:trPr>
          <w:trHeight w:val="518"/>
        </w:trPr>
        <w:tc>
          <w:tcPr>
            <w:tcW w:w="2491" w:type="dxa"/>
            <w:tcBorders>
              <w:top w:val="single" w:sz="4" w:space="0" w:color="000000"/>
              <w:left w:val="single" w:sz="4" w:space="0" w:color="000000"/>
              <w:bottom w:val="single" w:sz="4" w:space="0" w:color="000000"/>
              <w:right w:val="single" w:sz="4" w:space="0" w:color="000000"/>
            </w:tcBorders>
          </w:tcPr>
          <w:p w14:paraId="5C14E139" w14:textId="77777777" w:rsidR="002C1C89"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ANALYSIS</w:t>
            </w:r>
          </w:p>
        </w:tc>
        <w:tc>
          <w:tcPr>
            <w:tcW w:w="1370" w:type="dxa"/>
            <w:tcBorders>
              <w:top w:val="single" w:sz="4" w:space="0" w:color="000000"/>
              <w:left w:val="single" w:sz="4" w:space="0" w:color="000000"/>
              <w:bottom w:val="single" w:sz="4" w:space="0" w:color="000000"/>
              <w:right w:val="single" w:sz="4" w:space="0" w:color="000000"/>
            </w:tcBorders>
          </w:tcPr>
          <w:p w14:paraId="28113F72" w14:textId="77777777" w:rsidR="002C1C89"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 xml:space="preserve">POOLED MD </w:t>
            </w:r>
          </w:p>
        </w:tc>
        <w:tc>
          <w:tcPr>
            <w:tcW w:w="1061" w:type="dxa"/>
            <w:tcBorders>
              <w:top w:val="single" w:sz="4" w:space="0" w:color="000000"/>
              <w:left w:val="single" w:sz="4" w:space="0" w:color="000000"/>
              <w:bottom w:val="single" w:sz="4" w:space="0" w:color="000000"/>
              <w:right w:val="single" w:sz="4" w:space="0" w:color="000000"/>
            </w:tcBorders>
          </w:tcPr>
          <w:p w14:paraId="38BBB5EE" w14:textId="77777777" w:rsidR="002C1C89"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95% CI</w:t>
            </w:r>
          </w:p>
        </w:tc>
        <w:tc>
          <w:tcPr>
            <w:tcW w:w="653" w:type="dxa"/>
            <w:tcBorders>
              <w:top w:val="single" w:sz="4" w:space="0" w:color="000000"/>
              <w:left w:val="single" w:sz="4" w:space="0" w:color="000000"/>
              <w:bottom w:val="single" w:sz="4" w:space="0" w:color="000000"/>
              <w:right w:val="single" w:sz="4" w:space="0" w:color="000000"/>
            </w:tcBorders>
          </w:tcPr>
          <w:p w14:paraId="143F4A2C" w14:textId="77777777" w:rsidR="002C1C89"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I²</w:t>
            </w:r>
          </w:p>
        </w:tc>
        <w:tc>
          <w:tcPr>
            <w:tcW w:w="2425" w:type="dxa"/>
            <w:tcBorders>
              <w:top w:val="single" w:sz="4" w:space="0" w:color="000000"/>
              <w:left w:val="single" w:sz="4" w:space="0" w:color="000000"/>
              <w:bottom w:val="single" w:sz="4" w:space="0" w:color="000000"/>
              <w:right w:val="single" w:sz="4" w:space="0" w:color="000000"/>
            </w:tcBorders>
          </w:tcPr>
          <w:p w14:paraId="5B0D443D" w14:textId="77777777" w:rsidR="002C1C89" w:rsidRPr="00A8664F" w:rsidRDefault="00110E0D" w:rsidP="00065F60">
            <w:pPr>
              <w:spacing w:after="0" w:line="276" w:lineRule="auto"/>
              <w:jc w:val="both"/>
              <w:rPr>
                <w:rFonts w:asciiTheme="majorBidi" w:eastAsia="Times New Roman" w:hAnsiTheme="majorBidi" w:cstheme="majorBidi"/>
                <w:b/>
                <w:bCs/>
                <w:color w:val="000000"/>
                <w:sz w:val="24"/>
                <w:szCs w:val="24"/>
              </w:rPr>
            </w:pPr>
            <w:r w:rsidRPr="00A8664F">
              <w:rPr>
                <w:rFonts w:asciiTheme="majorBidi" w:eastAsia="Times New Roman" w:hAnsiTheme="majorBidi" w:cstheme="majorBidi"/>
                <w:b/>
                <w:bCs/>
                <w:color w:val="000000"/>
                <w:sz w:val="24"/>
                <w:szCs w:val="24"/>
              </w:rPr>
              <w:t>INTERPRETATION</w:t>
            </w:r>
          </w:p>
        </w:tc>
      </w:tr>
      <w:tr w:rsidR="002C1C89" w:rsidRPr="00A8664F" w14:paraId="26A9AAB6" w14:textId="77777777">
        <w:trPr>
          <w:trHeight w:val="518"/>
        </w:trPr>
        <w:tc>
          <w:tcPr>
            <w:tcW w:w="2491" w:type="dxa"/>
            <w:tcBorders>
              <w:top w:val="single" w:sz="4" w:space="0" w:color="000000"/>
              <w:left w:val="single" w:sz="4" w:space="0" w:color="000000"/>
              <w:bottom w:val="single" w:sz="4" w:space="0" w:color="000000"/>
              <w:right w:val="single" w:sz="4" w:space="0" w:color="000000"/>
            </w:tcBorders>
          </w:tcPr>
          <w:p w14:paraId="3A651B4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Main analysis</w:t>
            </w:r>
          </w:p>
        </w:tc>
        <w:tc>
          <w:tcPr>
            <w:tcW w:w="1370" w:type="dxa"/>
            <w:tcBorders>
              <w:top w:val="single" w:sz="4" w:space="0" w:color="000000"/>
              <w:left w:val="single" w:sz="4" w:space="0" w:color="000000"/>
              <w:bottom w:val="single" w:sz="4" w:space="0" w:color="000000"/>
              <w:right w:val="single" w:sz="4" w:space="0" w:color="000000"/>
            </w:tcBorders>
          </w:tcPr>
          <w:p w14:paraId="53D48C8C"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2.13</w:t>
            </w:r>
          </w:p>
        </w:tc>
        <w:tc>
          <w:tcPr>
            <w:tcW w:w="1061" w:type="dxa"/>
            <w:tcBorders>
              <w:top w:val="single" w:sz="4" w:space="0" w:color="000000"/>
              <w:left w:val="single" w:sz="4" w:space="0" w:color="000000"/>
              <w:bottom w:val="single" w:sz="4" w:space="0" w:color="000000"/>
              <w:right w:val="single" w:sz="4" w:space="0" w:color="000000"/>
            </w:tcBorders>
          </w:tcPr>
          <w:p w14:paraId="1C20A636"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-2.18 to 6.43</w:t>
            </w:r>
          </w:p>
        </w:tc>
        <w:tc>
          <w:tcPr>
            <w:tcW w:w="653" w:type="dxa"/>
            <w:tcBorders>
              <w:top w:val="single" w:sz="4" w:space="0" w:color="000000"/>
              <w:left w:val="single" w:sz="4" w:space="0" w:color="000000"/>
              <w:bottom w:val="single" w:sz="4" w:space="0" w:color="000000"/>
              <w:right w:val="single" w:sz="4" w:space="0" w:color="000000"/>
            </w:tcBorders>
          </w:tcPr>
          <w:p w14:paraId="2B9526CE"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82</w:t>
            </w:r>
          </w:p>
        </w:tc>
        <w:tc>
          <w:tcPr>
            <w:tcW w:w="2425" w:type="dxa"/>
            <w:tcBorders>
              <w:top w:val="single" w:sz="4" w:space="0" w:color="000000"/>
              <w:left w:val="single" w:sz="4" w:space="0" w:color="000000"/>
              <w:bottom w:val="single" w:sz="4" w:space="0" w:color="000000"/>
              <w:right w:val="single" w:sz="4" w:space="0" w:color="000000"/>
            </w:tcBorders>
          </w:tcPr>
          <w:p w14:paraId="13FE87B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Not significant</w:t>
            </w:r>
          </w:p>
        </w:tc>
      </w:tr>
      <w:tr w:rsidR="002C1C89" w:rsidRPr="00A8664F" w14:paraId="2FBC1186" w14:textId="77777777">
        <w:trPr>
          <w:trHeight w:val="518"/>
        </w:trPr>
        <w:tc>
          <w:tcPr>
            <w:tcW w:w="2491" w:type="dxa"/>
            <w:tcBorders>
              <w:top w:val="single" w:sz="4" w:space="0" w:color="000000"/>
              <w:left w:val="single" w:sz="4" w:space="0" w:color="000000"/>
              <w:bottom w:val="single" w:sz="4" w:space="0" w:color="000000"/>
              <w:right w:val="single" w:sz="4" w:space="0" w:color="000000"/>
            </w:tcBorders>
          </w:tcPr>
          <w:p w14:paraId="5606CE2D"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Excluding </w:t>
            </w:r>
            <w:proofErr w:type="spellStart"/>
            <w:r w:rsidRPr="00A8664F">
              <w:rPr>
                <w:rFonts w:asciiTheme="majorBidi" w:eastAsia="Times New Roman" w:hAnsiTheme="majorBidi" w:cstheme="majorBidi"/>
                <w:color w:val="000000"/>
                <w:sz w:val="24"/>
                <w:szCs w:val="24"/>
              </w:rPr>
              <w:t>Cochera</w:t>
            </w:r>
            <w:proofErr w:type="spellEnd"/>
            <w:r w:rsidRPr="00A8664F">
              <w:rPr>
                <w:rFonts w:asciiTheme="majorBidi" w:eastAsia="Times New Roman" w:hAnsiTheme="majorBidi" w:cstheme="majorBidi"/>
                <w:color w:val="000000"/>
                <w:sz w:val="24"/>
                <w:szCs w:val="24"/>
              </w:rPr>
              <w:t xml:space="preserve"> 2018</w:t>
            </w:r>
          </w:p>
        </w:tc>
        <w:tc>
          <w:tcPr>
            <w:tcW w:w="1370" w:type="dxa"/>
            <w:tcBorders>
              <w:top w:val="single" w:sz="4" w:space="0" w:color="000000"/>
              <w:left w:val="single" w:sz="4" w:space="0" w:color="000000"/>
              <w:bottom w:val="single" w:sz="4" w:space="0" w:color="000000"/>
              <w:right w:val="single" w:sz="4" w:space="0" w:color="000000"/>
            </w:tcBorders>
          </w:tcPr>
          <w:p w14:paraId="5E2067D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2.64</w:t>
            </w:r>
          </w:p>
        </w:tc>
        <w:tc>
          <w:tcPr>
            <w:tcW w:w="1061" w:type="dxa"/>
            <w:tcBorders>
              <w:top w:val="single" w:sz="4" w:space="0" w:color="000000"/>
              <w:left w:val="single" w:sz="4" w:space="0" w:color="000000"/>
              <w:bottom w:val="single" w:sz="4" w:space="0" w:color="000000"/>
              <w:right w:val="single" w:sz="4" w:space="0" w:color="000000"/>
            </w:tcBorders>
          </w:tcPr>
          <w:p w14:paraId="1C3BA41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-5.38 to 10.67</w:t>
            </w:r>
          </w:p>
        </w:tc>
        <w:tc>
          <w:tcPr>
            <w:tcW w:w="653" w:type="dxa"/>
            <w:tcBorders>
              <w:top w:val="single" w:sz="4" w:space="0" w:color="000000"/>
              <w:left w:val="single" w:sz="4" w:space="0" w:color="000000"/>
              <w:bottom w:val="single" w:sz="4" w:space="0" w:color="000000"/>
              <w:right w:val="single" w:sz="4" w:space="0" w:color="000000"/>
            </w:tcBorders>
          </w:tcPr>
          <w:p w14:paraId="371357D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83</w:t>
            </w:r>
          </w:p>
        </w:tc>
        <w:tc>
          <w:tcPr>
            <w:tcW w:w="2425" w:type="dxa"/>
            <w:tcBorders>
              <w:top w:val="single" w:sz="4" w:space="0" w:color="000000"/>
              <w:left w:val="single" w:sz="4" w:space="0" w:color="000000"/>
              <w:bottom w:val="single" w:sz="4" w:space="0" w:color="000000"/>
              <w:right w:val="single" w:sz="4" w:space="0" w:color="000000"/>
            </w:tcBorders>
          </w:tcPr>
          <w:p w14:paraId="7C1E414D"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Not significant</w:t>
            </w:r>
          </w:p>
        </w:tc>
      </w:tr>
      <w:tr w:rsidR="002C1C89" w:rsidRPr="00A8664F" w14:paraId="09C804D2" w14:textId="77777777">
        <w:trPr>
          <w:trHeight w:val="532"/>
        </w:trPr>
        <w:tc>
          <w:tcPr>
            <w:tcW w:w="2491" w:type="dxa"/>
            <w:tcBorders>
              <w:top w:val="single" w:sz="4" w:space="0" w:color="000000"/>
              <w:left w:val="single" w:sz="4" w:space="0" w:color="000000"/>
              <w:bottom w:val="single" w:sz="4" w:space="0" w:color="000000"/>
              <w:right w:val="single" w:sz="4" w:space="0" w:color="000000"/>
            </w:tcBorders>
          </w:tcPr>
          <w:p w14:paraId="5CF9008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Excluding Kaya 2013</w:t>
            </w:r>
          </w:p>
        </w:tc>
        <w:tc>
          <w:tcPr>
            <w:tcW w:w="1370" w:type="dxa"/>
            <w:tcBorders>
              <w:top w:val="single" w:sz="4" w:space="0" w:color="000000"/>
              <w:left w:val="single" w:sz="4" w:space="0" w:color="000000"/>
              <w:bottom w:val="single" w:sz="4" w:space="0" w:color="000000"/>
              <w:right w:val="single" w:sz="4" w:space="0" w:color="000000"/>
            </w:tcBorders>
          </w:tcPr>
          <w:p w14:paraId="5796BD8B"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0.70</w:t>
            </w:r>
          </w:p>
        </w:tc>
        <w:tc>
          <w:tcPr>
            <w:tcW w:w="1061" w:type="dxa"/>
            <w:tcBorders>
              <w:top w:val="single" w:sz="4" w:space="0" w:color="000000"/>
              <w:left w:val="single" w:sz="4" w:space="0" w:color="000000"/>
              <w:bottom w:val="single" w:sz="4" w:space="0" w:color="000000"/>
              <w:right w:val="single" w:sz="4" w:space="0" w:color="000000"/>
            </w:tcBorders>
          </w:tcPr>
          <w:p w14:paraId="4CF270A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-1.03 to 2.42</w:t>
            </w:r>
          </w:p>
        </w:tc>
        <w:tc>
          <w:tcPr>
            <w:tcW w:w="653" w:type="dxa"/>
            <w:tcBorders>
              <w:top w:val="single" w:sz="4" w:space="0" w:color="000000"/>
              <w:left w:val="single" w:sz="4" w:space="0" w:color="000000"/>
              <w:bottom w:val="single" w:sz="4" w:space="0" w:color="000000"/>
              <w:right w:val="single" w:sz="4" w:space="0" w:color="000000"/>
            </w:tcBorders>
          </w:tcPr>
          <w:p w14:paraId="0BD8E435"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0</w:t>
            </w:r>
          </w:p>
        </w:tc>
        <w:tc>
          <w:tcPr>
            <w:tcW w:w="2425" w:type="dxa"/>
            <w:tcBorders>
              <w:top w:val="single" w:sz="4" w:space="0" w:color="000000"/>
              <w:left w:val="single" w:sz="4" w:space="0" w:color="000000"/>
              <w:bottom w:val="single" w:sz="4" w:space="0" w:color="000000"/>
              <w:right w:val="single" w:sz="4" w:space="0" w:color="000000"/>
            </w:tcBorders>
          </w:tcPr>
          <w:p w14:paraId="1AB76C7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Not significant</w:t>
            </w:r>
          </w:p>
        </w:tc>
      </w:tr>
      <w:tr w:rsidR="002C1C89" w:rsidRPr="00A8664F" w14:paraId="63B9C22C" w14:textId="77777777">
        <w:trPr>
          <w:trHeight w:val="518"/>
        </w:trPr>
        <w:tc>
          <w:tcPr>
            <w:tcW w:w="2491" w:type="dxa"/>
            <w:tcBorders>
              <w:top w:val="single" w:sz="4" w:space="0" w:color="000000"/>
              <w:left w:val="single" w:sz="4" w:space="0" w:color="000000"/>
              <w:bottom w:val="single" w:sz="4" w:space="0" w:color="000000"/>
              <w:right w:val="single" w:sz="4" w:space="0" w:color="000000"/>
            </w:tcBorders>
          </w:tcPr>
          <w:p w14:paraId="596D90A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Excluding </w:t>
            </w:r>
            <w:proofErr w:type="spellStart"/>
            <w:r w:rsidRPr="00A8664F">
              <w:rPr>
                <w:rFonts w:asciiTheme="majorBidi" w:eastAsia="Times New Roman" w:hAnsiTheme="majorBidi" w:cstheme="majorBidi"/>
                <w:color w:val="000000"/>
                <w:sz w:val="24"/>
                <w:szCs w:val="24"/>
              </w:rPr>
              <w:t>Rudrapogu</w:t>
            </w:r>
            <w:proofErr w:type="spellEnd"/>
            <w:r w:rsidRPr="00A8664F">
              <w:rPr>
                <w:rFonts w:asciiTheme="majorBidi" w:eastAsia="Times New Roman" w:hAnsiTheme="majorBidi" w:cstheme="majorBidi"/>
                <w:color w:val="000000"/>
                <w:sz w:val="24"/>
                <w:szCs w:val="24"/>
              </w:rPr>
              <w:t xml:space="preserve"> 2019</w:t>
            </w:r>
          </w:p>
        </w:tc>
        <w:tc>
          <w:tcPr>
            <w:tcW w:w="1370" w:type="dxa"/>
            <w:tcBorders>
              <w:top w:val="single" w:sz="4" w:space="0" w:color="000000"/>
              <w:left w:val="single" w:sz="4" w:space="0" w:color="000000"/>
              <w:bottom w:val="single" w:sz="4" w:space="0" w:color="000000"/>
              <w:right w:val="single" w:sz="4" w:space="0" w:color="000000"/>
            </w:tcBorders>
          </w:tcPr>
          <w:p w14:paraId="5B524DFF"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2.95</w:t>
            </w:r>
          </w:p>
        </w:tc>
        <w:tc>
          <w:tcPr>
            <w:tcW w:w="1061" w:type="dxa"/>
            <w:tcBorders>
              <w:top w:val="single" w:sz="4" w:space="0" w:color="000000"/>
              <w:left w:val="single" w:sz="4" w:space="0" w:color="000000"/>
              <w:bottom w:val="single" w:sz="4" w:space="0" w:color="000000"/>
              <w:right w:val="single" w:sz="4" w:space="0" w:color="000000"/>
            </w:tcBorders>
          </w:tcPr>
          <w:p w14:paraId="7F8723D9"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-4.12 to 10.02</w:t>
            </w:r>
          </w:p>
        </w:tc>
        <w:tc>
          <w:tcPr>
            <w:tcW w:w="653" w:type="dxa"/>
            <w:tcBorders>
              <w:top w:val="single" w:sz="4" w:space="0" w:color="000000"/>
              <w:left w:val="single" w:sz="4" w:space="0" w:color="000000"/>
              <w:bottom w:val="single" w:sz="4" w:space="0" w:color="000000"/>
              <w:right w:val="single" w:sz="4" w:space="0" w:color="000000"/>
            </w:tcBorders>
          </w:tcPr>
          <w:p w14:paraId="7E77317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78</w:t>
            </w:r>
          </w:p>
        </w:tc>
        <w:tc>
          <w:tcPr>
            <w:tcW w:w="2425" w:type="dxa"/>
            <w:tcBorders>
              <w:top w:val="single" w:sz="4" w:space="0" w:color="000000"/>
              <w:left w:val="single" w:sz="4" w:space="0" w:color="000000"/>
              <w:bottom w:val="single" w:sz="4" w:space="0" w:color="000000"/>
              <w:right w:val="single" w:sz="4" w:space="0" w:color="000000"/>
            </w:tcBorders>
          </w:tcPr>
          <w:p w14:paraId="3DB1A954"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Not significant</w:t>
            </w:r>
          </w:p>
        </w:tc>
      </w:tr>
      <w:tr w:rsidR="002C1C89" w:rsidRPr="00A8664F" w14:paraId="11D8D68F" w14:textId="77777777">
        <w:trPr>
          <w:trHeight w:val="518"/>
        </w:trPr>
        <w:tc>
          <w:tcPr>
            <w:tcW w:w="2491" w:type="dxa"/>
            <w:tcBorders>
              <w:top w:val="single" w:sz="4" w:space="0" w:color="000000"/>
              <w:left w:val="single" w:sz="4" w:space="0" w:color="000000"/>
              <w:bottom w:val="single" w:sz="4" w:space="0" w:color="000000"/>
              <w:right w:val="single" w:sz="4" w:space="0" w:color="000000"/>
            </w:tcBorders>
          </w:tcPr>
          <w:p w14:paraId="685AF6D6"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Excluding </w:t>
            </w: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w:t>
            </w:r>
          </w:p>
        </w:tc>
        <w:tc>
          <w:tcPr>
            <w:tcW w:w="1370" w:type="dxa"/>
            <w:tcBorders>
              <w:top w:val="single" w:sz="4" w:space="0" w:color="000000"/>
              <w:left w:val="single" w:sz="4" w:space="0" w:color="000000"/>
              <w:bottom w:val="single" w:sz="4" w:space="0" w:color="000000"/>
              <w:right w:val="single" w:sz="4" w:space="0" w:color="000000"/>
            </w:tcBorders>
          </w:tcPr>
          <w:p w14:paraId="04BC5C51"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2.27</w:t>
            </w:r>
          </w:p>
        </w:tc>
        <w:tc>
          <w:tcPr>
            <w:tcW w:w="1061" w:type="dxa"/>
            <w:tcBorders>
              <w:top w:val="single" w:sz="4" w:space="0" w:color="000000"/>
              <w:left w:val="single" w:sz="4" w:space="0" w:color="000000"/>
              <w:bottom w:val="single" w:sz="4" w:space="0" w:color="000000"/>
              <w:right w:val="single" w:sz="4" w:space="0" w:color="000000"/>
            </w:tcBorders>
          </w:tcPr>
          <w:p w14:paraId="492E4A78"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-5.82 to 10.35</w:t>
            </w:r>
          </w:p>
        </w:tc>
        <w:tc>
          <w:tcPr>
            <w:tcW w:w="653" w:type="dxa"/>
            <w:tcBorders>
              <w:top w:val="single" w:sz="4" w:space="0" w:color="000000"/>
              <w:left w:val="single" w:sz="4" w:space="0" w:color="000000"/>
              <w:bottom w:val="single" w:sz="4" w:space="0" w:color="000000"/>
              <w:right w:val="single" w:sz="4" w:space="0" w:color="000000"/>
            </w:tcBorders>
          </w:tcPr>
          <w:p w14:paraId="0FEBBC88"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90</w:t>
            </w:r>
          </w:p>
        </w:tc>
        <w:tc>
          <w:tcPr>
            <w:tcW w:w="2425" w:type="dxa"/>
            <w:tcBorders>
              <w:top w:val="single" w:sz="4" w:space="0" w:color="000000"/>
              <w:left w:val="single" w:sz="4" w:space="0" w:color="000000"/>
              <w:bottom w:val="single" w:sz="4" w:space="0" w:color="000000"/>
              <w:right w:val="single" w:sz="4" w:space="0" w:color="000000"/>
            </w:tcBorders>
          </w:tcPr>
          <w:p w14:paraId="61AC663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Not significant</w:t>
            </w:r>
          </w:p>
          <w:p w14:paraId="2DD9A698"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tc>
      </w:tr>
    </w:tbl>
    <w:p w14:paraId="46ABEE69"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4CE61067" w14:textId="77777777" w:rsidR="002C1C89" w:rsidRPr="00A8664F" w:rsidRDefault="00110E0D" w:rsidP="00065F60">
      <w:pPr>
        <w:spacing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3.4.2 Secondary Outcomes</w:t>
      </w:r>
    </w:p>
    <w:p w14:paraId="31102C9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All-cause mortality (Random-Effects Risk Ratio)</w:t>
      </w:r>
    </w:p>
    <w:p w14:paraId="4FFB88C9" w14:textId="6FD28AF4" w:rsidR="002C1C89" w:rsidRPr="00A8664F" w:rsidRDefault="00795625"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The pooled risk ratio for all-cause mortality was 0.20 (95% CI 0.01 to 4.04; P=0.29), indicating no statistically significant difference between groups. The pooled estimate was driven entirely by </w:t>
      </w:r>
      <w:proofErr w:type="spellStart"/>
      <w:r w:rsidRPr="00A8664F">
        <w:rPr>
          <w:rFonts w:asciiTheme="majorBidi" w:eastAsia="Times New Roman" w:hAnsiTheme="majorBidi" w:cstheme="majorBidi"/>
          <w:color w:val="000000"/>
          <w:sz w:val="24"/>
          <w:szCs w:val="24"/>
        </w:rPr>
        <w:t>Stefanini</w:t>
      </w:r>
      <w:proofErr w:type="spellEnd"/>
      <w:r w:rsidRPr="00A8664F">
        <w:rPr>
          <w:rFonts w:asciiTheme="majorBidi" w:eastAsia="Times New Roman" w:hAnsiTheme="majorBidi" w:cstheme="majorBidi"/>
          <w:color w:val="000000"/>
          <w:sz w:val="24"/>
          <w:szCs w:val="24"/>
        </w:rPr>
        <w:t xml:space="preserve"> 2025, the only study contributing an estimable effect, in which no deaths occurred in the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group and two occurred in the placebo group. </w:t>
      </w:r>
      <w:r w:rsidR="00C66FFF" w:rsidRPr="00A8664F">
        <w:rPr>
          <w:rFonts w:asciiTheme="majorBidi" w:eastAsia="Times New Roman" w:hAnsiTheme="majorBidi" w:cstheme="majorBidi"/>
          <w:color w:val="000000"/>
          <w:sz w:val="24"/>
          <w:szCs w:val="24"/>
        </w:rPr>
        <w:t>Consequently, heterogeneity could not be meaningfully assessed (Supplementary Figure S2).</w:t>
      </w:r>
    </w:p>
    <w:p w14:paraId="7FBB53F8"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50913FD6"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Final left ventricular end-diastolic diameter (LVEDD)</w:t>
      </w:r>
    </w:p>
    <w:p w14:paraId="6F4AE090" w14:textId="7B299CBC"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Three studies comprising 185 participants compared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with placebo or non-</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The analysis found a mean difference in LVEDD of -1.60 with 95% CI (-8.30, 5.10). The range crosses zero so there was no significant overall difference between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no-</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/placebo (T = 1.03, p = 0.41). </w:t>
      </w:r>
      <w:r w:rsidR="00C66FFF" w:rsidRPr="00A8664F">
        <w:rPr>
          <w:rFonts w:asciiTheme="majorBidi" w:eastAsia="Times New Roman" w:hAnsiTheme="majorBidi" w:cstheme="majorBidi"/>
          <w:color w:val="000000"/>
          <w:sz w:val="24"/>
          <w:szCs w:val="24"/>
        </w:rPr>
        <w:t>The studies showed substantial heterogeneity (I²=84%, P=0.005), with a wide 95% prediction interval (−13.98 to 10.78) (Supplementary Figure S3).</w:t>
      </w:r>
    </w:p>
    <w:p w14:paraId="4C679CEA" w14:textId="2F81D4BA"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p>
    <w:p w14:paraId="3DFBA5AF"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Final left ventricular end-systolic diameter (LVESD)</w:t>
      </w:r>
    </w:p>
    <w:p w14:paraId="5219189A" w14:textId="7B69559F"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Three studies comprising 185 participants compared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with placebo or no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The random-effects HKSJ analysis showed no statistically significant difference between groups (MD −0.77, 95% CI −4.45 to 2.91; P = 0.31). </w:t>
      </w:r>
      <w:r w:rsidR="00263AE9" w:rsidRPr="00A8664F">
        <w:rPr>
          <w:rFonts w:asciiTheme="majorBidi" w:eastAsia="Times New Roman" w:hAnsiTheme="majorBidi" w:cstheme="majorBidi"/>
          <w:color w:val="000000"/>
          <w:sz w:val="24"/>
          <w:szCs w:val="24"/>
        </w:rPr>
        <w:t>Low to moderate heterogeneity was present (I²=34%), and the prediction interval was wide (−8.24 to 6.70), indicating uncertainty in the estimated effect (Supplementary Figure S4).</w:t>
      </w:r>
      <w:r w:rsidRPr="00A8664F">
        <w:rPr>
          <w:rFonts w:asciiTheme="majorBidi" w:eastAsia="Times New Roman" w:hAnsiTheme="majorBidi" w:cstheme="majorBidi"/>
          <w:color w:val="000000"/>
          <w:sz w:val="24"/>
          <w:szCs w:val="24"/>
        </w:rPr>
        <w:t xml:space="preserve">        </w:t>
      </w:r>
    </w:p>
    <w:p w14:paraId="27D1BE10"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347537CA"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Final </w:t>
      </w:r>
      <w:proofErr w:type="spellStart"/>
      <w:r w:rsidRPr="00A8664F">
        <w:rPr>
          <w:rFonts w:asciiTheme="majorBidi" w:eastAsia="Times New Roman" w:hAnsiTheme="majorBidi" w:cstheme="majorBidi"/>
          <w:color w:val="000000"/>
          <w:sz w:val="24"/>
          <w:szCs w:val="24"/>
        </w:rPr>
        <w:t>isovolumic</w:t>
      </w:r>
      <w:proofErr w:type="spellEnd"/>
      <w:r w:rsidRPr="00A8664F">
        <w:rPr>
          <w:rFonts w:asciiTheme="majorBidi" w:eastAsia="Times New Roman" w:hAnsiTheme="majorBidi" w:cstheme="majorBidi"/>
          <w:color w:val="000000"/>
          <w:sz w:val="24"/>
          <w:szCs w:val="24"/>
        </w:rPr>
        <w:t xml:space="preserve"> relaxation time (IVRT)</w:t>
      </w:r>
    </w:p>
    <w:p w14:paraId="77A99E30" w14:textId="1114EF24" w:rsidR="00795625"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For IVRT, the mean difference calculated was -0.95 with CI of 95% (-3.49 to 1.59). </w:t>
      </w:r>
      <w:r w:rsidR="00795625" w:rsidRPr="00A8664F">
        <w:rPr>
          <w:rFonts w:asciiTheme="majorBidi" w:eastAsia="Times New Roman" w:hAnsiTheme="majorBidi" w:cstheme="majorBidi"/>
          <w:color w:val="000000"/>
          <w:sz w:val="24"/>
          <w:szCs w:val="24"/>
        </w:rPr>
        <w:t xml:space="preserve">This indicates no statistically significant difference between the two groups because the confidence interval crossed zero (T=1.61, P=0.25). </w:t>
      </w:r>
      <w:r w:rsidR="00C66FFF" w:rsidRPr="00A8664F">
        <w:rPr>
          <w:rFonts w:asciiTheme="majorBidi" w:eastAsia="Times New Roman" w:hAnsiTheme="majorBidi" w:cstheme="majorBidi"/>
          <w:color w:val="000000"/>
          <w:sz w:val="24"/>
          <w:szCs w:val="24"/>
        </w:rPr>
        <w:t>Heterogeneity was absent (I²=0%), indicating consistency among the contributing studies (Supplementary Figure S5).</w:t>
      </w:r>
    </w:p>
    <w:p w14:paraId="240B0239" w14:textId="05591F73"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p>
    <w:p w14:paraId="2D164734" w14:textId="4C9FFF0E"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Final E/A ratio</w:t>
      </w:r>
    </w:p>
    <w:p w14:paraId="3B926656" w14:textId="38FE823E" w:rsidR="002E10B3"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Using a random-effects </w:t>
      </w:r>
      <w:proofErr w:type="spellStart"/>
      <w:r w:rsidRPr="00A8664F">
        <w:rPr>
          <w:rFonts w:asciiTheme="majorBidi" w:eastAsia="Times New Roman" w:hAnsiTheme="majorBidi" w:cstheme="majorBidi"/>
          <w:color w:val="000000"/>
          <w:sz w:val="24"/>
          <w:szCs w:val="24"/>
        </w:rPr>
        <w:t>Hartung</w:t>
      </w:r>
      <w:proofErr w:type="spellEnd"/>
      <w:r w:rsidRPr="00A8664F">
        <w:rPr>
          <w:rFonts w:asciiTheme="majorBidi" w:eastAsia="Times New Roman" w:hAnsiTheme="majorBidi" w:cstheme="majorBidi"/>
          <w:color w:val="000000"/>
          <w:sz w:val="24"/>
          <w:szCs w:val="24"/>
        </w:rPr>
        <w:t>-Knapp-</w:t>
      </w:r>
      <w:proofErr w:type="spellStart"/>
      <w:r w:rsidRPr="00A8664F">
        <w:rPr>
          <w:rFonts w:asciiTheme="majorBidi" w:eastAsia="Times New Roman" w:hAnsiTheme="majorBidi" w:cstheme="majorBidi"/>
          <w:color w:val="000000"/>
          <w:sz w:val="24"/>
          <w:szCs w:val="24"/>
        </w:rPr>
        <w:t>Sidik</w:t>
      </w:r>
      <w:proofErr w:type="spellEnd"/>
      <w:r w:rsidRPr="00A8664F">
        <w:rPr>
          <w:rFonts w:asciiTheme="majorBidi" w:eastAsia="Times New Roman" w:hAnsiTheme="majorBidi" w:cstheme="majorBidi"/>
          <w:color w:val="000000"/>
          <w:sz w:val="24"/>
          <w:szCs w:val="24"/>
        </w:rPr>
        <w:t>-</w:t>
      </w:r>
      <w:proofErr w:type="spellStart"/>
      <w:r w:rsidRPr="00A8664F">
        <w:rPr>
          <w:rFonts w:asciiTheme="majorBidi" w:eastAsia="Times New Roman" w:hAnsiTheme="majorBidi" w:cstheme="majorBidi"/>
          <w:color w:val="000000"/>
          <w:sz w:val="24"/>
          <w:szCs w:val="24"/>
        </w:rPr>
        <w:t>Jonkman</w:t>
      </w:r>
      <w:proofErr w:type="spellEnd"/>
      <w:r w:rsidRPr="00A8664F">
        <w:rPr>
          <w:rFonts w:asciiTheme="majorBidi" w:eastAsia="Times New Roman" w:hAnsiTheme="majorBidi" w:cstheme="majorBidi"/>
          <w:color w:val="000000"/>
          <w:sz w:val="24"/>
          <w:szCs w:val="24"/>
        </w:rPr>
        <w:t xml:space="preserve"> (HKSJ) model, the overall pooled mean difference between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Placebo is 0.14 (95% CI: -0.17 to 0.44). Because the 95% confidence interval spans across zero and the test for overall effect yields a p-value of 0.19 (T=1.93, </w:t>
      </w:r>
      <w:proofErr w:type="spellStart"/>
      <w:r w:rsidRPr="00A8664F">
        <w:rPr>
          <w:rFonts w:asciiTheme="majorBidi" w:eastAsia="Times New Roman" w:hAnsiTheme="majorBidi" w:cstheme="majorBidi"/>
          <w:color w:val="000000"/>
          <w:sz w:val="24"/>
          <w:szCs w:val="24"/>
        </w:rPr>
        <w:t>df</w:t>
      </w:r>
      <w:proofErr w:type="spellEnd"/>
      <w:r w:rsidRPr="00A8664F">
        <w:rPr>
          <w:rFonts w:asciiTheme="majorBidi" w:eastAsia="Times New Roman" w:hAnsiTheme="majorBidi" w:cstheme="majorBidi"/>
          <w:color w:val="000000"/>
          <w:sz w:val="24"/>
          <w:szCs w:val="24"/>
        </w:rPr>
        <w:t xml:space="preserve">=2), there is no statistically significant difference between the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Placebo groups. Furthermore, the analysis demonstrates </w:t>
      </w:r>
      <w:r w:rsidR="00263AE9" w:rsidRPr="00A8664F">
        <w:rPr>
          <w:rFonts w:asciiTheme="majorBidi" w:eastAsia="Times New Roman" w:hAnsiTheme="majorBidi" w:cstheme="majorBidi"/>
          <w:color w:val="000000"/>
          <w:sz w:val="24"/>
          <w:szCs w:val="24"/>
        </w:rPr>
        <w:t>Moderate-to-substantial between-study heterogeneity was present (τ²=0.01, χ²=5.85, P=0.05, I²=64%) (Supplementary Figure S6).</w:t>
      </w:r>
    </w:p>
    <w:p w14:paraId="01888778" w14:textId="3880ADA5" w:rsidR="001170B3"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                       </w:t>
      </w:r>
    </w:p>
    <w:p w14:paraId="570681D0" w14:textId="2012851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A leave-one-out sensitivity analysis was performed to evaluate the stability of the primary findings and determine whether any single study disproportionately influenced the overall outcome. Omission of individual studies sequentially resulted in pooled mean differences ranging from 0.05 to 0.23, with all corresponding 95% confidence intervals consistently crossing zero. Across all iterations, the pooled overall effect remained statistically non-significant (P&gt;0.05). Notably, excluding Kaya 2013 substantially reduced heterogeneity from I²=64% to I²=0%, yet the pooled effect remained non-significant (MD=0.05, 95% CI: −0.13 to 0.24). These results confirm that the main finding is robust and not driven by any single study.</w:t>
      </w:r>
    </w:p>
    <w:p w14:paraId="1605DA42"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7992D750" w14:textId="77777777" w:rsidR="002C1C89" w:rsidRPr="00A8664F" w:rsidRDefault="00110E0D" w:rsidP="00065F60">
      <w:pPr>
        <w:pStyle w:val="Heading2"/>
        <w:numPr>
          <w:ilvl w:val="0"/>
          <w:numId w:val="1"/>
        </w:numPr>
        <w:spacing w:line="276" w:lineRule="auto"/>
        <w:jc w:val="both"/>
        <w:rPr>
          <w:rFonts w:asciiTheme="majorBidi" w:hAnsiTheme="majorBidi" w:cstheme="majorBidi"/>
          <w:b/>
          <w:bCs/>
          <w:color w:val="000000"/>
          <w:sz w:val="24"/>
          <w:szCs w:val="24"/>
        </w:rPr>
      </w:pPr>
      <w:r w:rsidRPr="00A8664F">
        <w:rPr>
          <w:rFonts w:asciiTheme="majorBidi" w:hAnsiTheme="majorBidi" w:cstheme="majorBidi"/>
          <w:b/>
          <w:bCs/>
          <w:color w:val="000000"/>
          <w:sz w:val="24"/>
          <w:szCs w:val="24"/>
        </w:rPr>
        <w:t>Discussion:</w:t>
      </w:r>
    </w:p>
    <w:p w14:paraId="115B00E4" w14:textId="77777777" w:rsidR="002C1C89" w:rsidRPr="00A8664F" w:rsidRDefault="002C1C89" w:rsidP="00065F60">
      <w:pPr>
        <w:spacing w:after="0" w:line="276" w:lineRule="auto"/>
        <w:jc w:val="both"/>
        <w:rPr>
          <w:rFonts w:asciiTheme="majorBidi" w:hAnsiTheme="majorBidi" w:cstheme="majorBidi"/>
          <w:sz w:val="24"/>
          <w:szCs w:val="24"/>
        </w:rPr>
      </w:pPr>
    </w:p>
    <w:p w14:paraId="6B3DE2CC" w14:textId="72DB52C4"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Anthracyclines</w:t>
      </w:r>
      <w:proofErr w:type="spellEnd"/>
      <w:r w:rsidRPr="00A8664F">
        <w:rPr>
          <w:rFonts w:asciiTheme="majorBidi" w:eastAsia="Times New Roman" w:hAnsiTheme="majorBidi" w:cstheme="majorBidi"/>
          <w:color w:val="000000"/>
          <w:sz w:val="24"/>
          <w:szCs w:val="24"/>
        </w:rPr>
        <w:t xml:space="preserve">, despite being potent antitumor antibiotic chemotherapy drugs, have been associated with multiple dose dependent cardio-toxic effects, leading to irreversible heart damage or failure [1]. This begins with myocardial cell injury, followed by reduced LVEF, and, if not treated timely, progressively leads to symptomatic heart failure [2]. Several mechanisms of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 toxicity have been postulated. The nuclear mediated </w:t>
      </w:r>
      <w:proofErr w:type="spellStart"/>
      <w:r w:rsidRPr="00A8664F">
        <w:rPr>
          <w:rFonts w:asciiTheme="majorBidi" w:eastAsia="Times New Roman" w:hAnsiTheme="majorBidi" w:cstheme="majorBidi"/>
          <w:color w:val="000000"/>
          <w:sz w:val="24"/>
          <w:szCs w:val="24"/>
        </w:rPr>
        <w:t>cardiomyocyte</w:t>
      </w:r>
      <w:proofErr w:type="spellEnd"/>
      <w:r w:rsidRPr="00A8664F">
        <w:rPr>
          <w:rFonts w:asciiTheme="majorBidi" w:eastAsia="Times New Roman" w:hAnsiTheme="majorBidi" w:cstheme="majorBidi"/>
          <w:color w:val="000000"/>
          <w:sz w:val="24"/>
          <w:szCs w:val="24"/>
        </w:rPr>
        <w:t xml:space="preserve"> death explains disruption of </w:t>
      </w:r>
      <w:proofErr w:type="spellStart"/>
      <w:r w:rsidRPr="00A8664F">
        <w:rPr>
          <w:rFonts w:asciiTheme="majorBidi" w:eastAsia="Times New Roman" w:hAnsiTheme="majorBidi" w:cstheme="majorBidi"/>
          <w:color w:val="000000"/>
          <w:sz w:val="24"/>
          <w:szCs w:val="24"/>
        </w:rPr>
        <w:t>topisomerase</w:t>
      </w:r>
      <w:proofErr w:type="spellEnd"/>
      <w:r w:rsidRPr="00A8664F">
        <w:rPr>
          <w:rFonts w:asciiTheme="majorBidi" w:eastAsia="Times New Roman" w:hAnsiTheme="majorBidi" w:cstheme="majorBidi"/>
          <w:color w:val="000000"/>
          <w:sz w:val="24"/>
          <w:szCs w:val="24"/>
        </w:rPr>
        <w:t xml:space="preserve"> II stable intermediates [3], while mitochondrial mediated </w:t>
      </w:r>
      <w:proofErr w:type="spellStart"/>
      <w:r w:rsidRPr="00A8664F">
        <w:rPr>
          <w:rFonts w:asciiTheme="majorBidi" w:eastAsia="Times New Roman" w:hAnsiTheme="majorBidi" w:cstheme="majorBidi"/>
          <w:color w:val="000000"/>
          <w:sz w:val="24"/>
          <w:szCs w:val="24"/>
        </w:rPr>
        <w:t>cardiomyocyte</w:t>
      </w:r>
      <w:proofErr w:type="spellEnd"/>
      <w:r w:rsidRPr="00A8664F">
        <w:rPr>
          <w:rFonts w:asciiTheme="majorBidi" w:eastAsia="Times New Roman" w:hAnsiTheme="majorBidi" w:cstheme="majorBidi"/>
          <w:color w:val="000000"/>
          <w:sz w:val="24"/>
          <w:szCs w:val="24"/>
        </w:rPr>
        <w:t xml:space="preserve"> death elaborates on the generation of Reactive Oxygen Species by </w:t>
      </w:r>
      <w:proofErr w:type="spellStart"/>
      <w:r w:rsidRPr="00A8664F">
        <w:rPr>
          <w:rFonts w:asciiTheme="majorBidi" w:eastAsia="Times New Roman" w:hAnsiTheme="majorBidi" w:cstheme="majorBidi"/>
          <w:color w:val="000000"/>
          <w:sz w:val="24"/>
          <w:szCs w:val="24"/>
        </w:rPr>
        <w:t>anthracyclines</w:t>
      </w:r>
      <w:proofErr w:type="spellEnd"/>
      <w:r w:rsidRPr="00A8664F">
        <w:rPr>
          <w:rFonts w:asciiTheme="majorBidi" w:eastAsia="Times New Roman" w:hAnsiTheme="majorBidi" w:cstheme="majorBidi"/>
          <w:color w:val="000000"/>
          <w:sz w:val="24"/>
          <w:szCs w:val="24"/>
        </w:rPr>
        <w:t xml:space="preserve"> [4]. Studies have also suggested genetic predisposition in the development of these adverse effects [5]</w:t>
      </w:r>
      <w:r w:rsidR="00C24DEF" w:rsidRPr="00A8664F">
        <w:rPr>
          <w:rFonts w:asciiTheme="majorBidi" w:eastAsia="Times New Roman" w:hAnsiTheme="majorBidi" w:cstheme="majorBidi"/>
          <w:color w:val="000000"/>
          <w:sz w:val="24"/>
          <w:szCs w:val="24"/>
        </w:rPr>
        <w:t>.</w:t>
      </w:r>
    </w:p>
    <w:p w14:paraId="412984EE" w14:textId="77777777" w:rsidR="00795625" w:rsidRPr="00A8664F" w:rsidRDefault="00795625"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 β1-selective adrenergic receptor antagonist with nitric oxide-mediated </w:t>
      </w:r>
      <w:proofErr w:type="spellStart"/>
      <w:r w:rsidRPr="00A8664F">
        <w:rPr>
          <w:rFonts w:asciiTheme="majorBidi" w:eastAsia="Times New Roman" w:hAnsiTheme="majorBidi" w:cstheme="majorBidi"/>
          <w:color w:val="000000"/>
          <w:sz w:val="24"/>
          <w:szCs w:val="24"/>
        </w:rPr>
        <w:t>vasodilatory</w:t>
      </w:r>
      <w:proofErr w:type="spellEnd"/>
      <w:r w:rsidRPr="00A8664F">
        <w:rPr>
          <w:rFonts w:asciiTheme="majorBidi" w:eastAsia="Times New Roman" w:hAnsiTheme="majorBidi" w:cstheme="majorBidi"/>
          <w:color w:val="000000"/>
          <w:sz w:val="24"/>
          <w:szCs w:val="24"/>
        </w:rPr>
        <w:t xml:space="preserve">, antioxidant, and endothelial effects, has a biologically plausible </w:t>
      </w:r>
      <w:proofErr w:type="spellStart"/>
      <w:r w:rsidRPr="00A8664F">
        <w:rPr>
          <w:rFonts w:asciiTheme="majorBidi" w:eastAsia="Times New Roman" w:hAnsiTheme="majorBidi" w:cstheme="majorBidi"/>
          <w:color w:val="000000"/>
          <w:sz w:val="24"/>
          <w:szCs w:val="24"/>
        </w:rPr>
        <w:t>cardioprotective</w:t>
      </w:r>
      <w:proofErr w:type="spellEnd"/>
      <w:r w:rsidRPr="00A8664F">
        <w:rPr>
          <w:rFonts w:asciiTheme="majorBidi" w:eastAsia="Times New Roman" w:hAnsiTheme="majorBidi" w:cstheme="majorBidi"/>
          <w:color w:val="000000"/>
          <w:sz w:val="24"/>
          <w:szCs w:val="24"/>
        </w:rPr>
        <w:t xml:space="preserve"> role during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 therapy; however, whether these mechanisms translate into clinically meaningful benefit remains uncertain.</w:t>
      </w:r>
    </w:p>
    <w:p w14:paraId="713A7FB4" w14:textId="6198E22B"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Although several studies have described the cardio protective role of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the results remain limited. This meta-analysis aimed to evaluate the safety and efficacy of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in cancer patients undergoing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-based chemotherapy.</w:t>
      </w:r>
    </w:p>
    <w:p w14:paraId="6C420F07"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was associated with a non-statistically significant improvement in LVEF (MD +2.13 [−2.18, 6.43]), favoring the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group over placebo/no treatment. Although the directional trend suggests a potential protective benefit, the wide confidence interval crossing zero proves an obstacle in confirming the </w:t>
      </w:r>
      <w:proofErr w:type="spellStart"/>
      <w:r w:rsidRPr="00A8664F">
        <w:rPr>
          <w:rFonts w:asciiTheme="majorBidi" w:eastAsia="Times New Roman" w:hAnsiTheme="majorBidi" w:cstheme="majorBidi"/>
          <w:color w:val="000000"/>
          <w:sz w:val="24"/>
          <w:szCs w:val="24"/>
        </w:rPr>
        <w:t>cardioprotective</w:t>
      </w:r>
      <w:proofErr w:type="spellEnd"/>
      <w:r w:rsidRPr="00A8664F">
        <w:rPr>
          <w:rFonts w:asciiTheme="majorBidi" w:eastAsia="Times New Roman" w:hAnsiTheme="majorBidi" w:cstheme="majorBidi"/>
          <w:color w:val="000000"/>
          <w:sz w:val="24"/>
          <w:szCs w:val="24"/>
        </w:rPr>
        <w:t xml:space="preserve"> role of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against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-induced LVEF reduction. The therapeutic role can be explained by the unique nitric oxide-mediated </w:t>
      </w:r>
      <w:proofErr w:type="spellStart"/>
      <w:r w:rsidRPr="00A8664F">
        <w:rPr>
          <w:rFonts w:asciiTheme="majorBidi" w:eastAsia="Times New Roman" w:hAnsiTheme="majorBidi" w:cstheme="majorBidi"/>
          <w:color w:val="000000"/>
          <w:sz w:val="24"/>
          <w:szCs w:val="24"/>
        </w:rPr>
        <w:t>vasodilatory</w:t>
      </w:r>
      <w:proofErr w:type="spellEnd"/>
      <w:r w:rsidRPr="00A8664F">
        <w:rPr>
          <w:rFonts w:asciiTheme="majorBidi" w:eastAsia="Times New Roman" w:hAnsiTheme="majorBidi" w:cstheme="majorBidi"/>
          <w:color w:val="000000"/>
          <w:sz w:val="24"/>
          <w:szCs w:val="24"/>
        </w:rPr>
        <w:t xml:space="preserve"> effect possessed by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which, theoretically, decreases the workload on left ventricle by decreasing afterload, thereby improving myocardial efficiency and preserving left ventricular systolic function, leading to improved LVEF. This fact stands despite the lack of statistical significance observed in our primary pooled model. Considerable heterogeneity was identified in the main primary model (I2=82%, τ2=5.61, p=0.004). A sequential leave-one-out analysis maintained non-significant pooled findings across all analyses. Excluding Kaya 2013 drastically reduced heterogeneity from I2=82% to I2=0% while shifting the pooled estimate to MD 0.70 (95% CI: -1.03 to 2.42), identifying Kaya 2013 (which reported the largest effect size of 6.30) as the primary contributor to statistical heterogeneity. Our findings align with broader cardiotoxicity prevention trials, where β-blockade offered by a variety of beta blockers, particularly carvedilol, frequently demonstrated modest or non-significant improvement in LVEF drop compared to control [9, 10].</w:t>
      </w:r>
    </w:p>
    <w:p w14:paraId="3D477C73"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Beyond changes in left ventricular systolic function, the effects of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on ventricular dimensions were also examined using LVEDD and LVESD as markers of structural cardiac remodeling. These ventricular dimensions were not significantly altered by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Neither LVEDD (MD -1.60, 95% CI -8.30 to 5.10; P = 0.41) nor LVESD (MD -0.77,95% CI -4.45 to 2.91; P=0.31) demonstrated a statistically significant difference. Substantial heterogeneity was observed in LVEDD (I2=84%), whereas low-to-moderate heterogeneity was present in LVESD (I2=34%). For LVEDD, Kaya 2013 was the primary contributor to the between-study heterogeneity because after excluding this study, the pooled estimate remained statistically non-significant (MD-0.10, 95% CI-3.20 to 3.01; P=0.76), but the heterogeneity was decreased from 84% to 0%. Although the numerical direction of both estimates favored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the confidence intervals remained compatible with little or no effect. These findings are consistent with the evidence that prophylactic β-blockers may reduce ventricular dilation and decrease left ventricular diameter, although results have varied with individual trials and drug classes [11, 12]. A 2019 meta-analysis of randomized controlled trials reported the reduction in both LVEDD and LVESD with prophylactic β-blockers, whereas more recent evidence has been less consistent regarding these structural parameters [11, 13]. Importantly, the absence of significant changes in these ventricular dimensions may also reflect the short follow-up of available studies, as ventricular remodeling is a gradual process and may require a longer period to become clinically detectable. Consequently, the available evidence does not demonstrate a consistent effect of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on ventricular remodeling. </w:t>
      </w:r>
    </w:p>
    <w:p w14:paraId="7A7E19D2" w14:textId="08AC3BDB"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In addition to the changes in ventricular dimensions, diastolic function was also assessed by using the E/A ratio and </w:t>
      </w:r>
      <w:proofErr w:type="spellStart"/>
      <w:r w:rsidRPr="00A8664F">
        <w:rPr>
          <w:rFonts w:asciiTheme="majorBidi" w:eastAsia="Times New Roman" w:hAnsiTheme="majorBidi" w:cstheme="majorBidi"/>
          <w:color w:val="000000"/>
          <w:sz w:val="24"/>
          <w:szCs w:val="24"/>
        </w:rPr>
        <w:t>isovolumetric</w:t>
      </w:r>
      <w:proofErr w:type="spellEnd"/>
      <w:r w:rsidRPr="00A8664F">
        <w:rPr>
          <w:rFonts w:asciiTheme="majorBidi" w:eastAsia="Times New Roman" w:hAnsiTheme="majorBidi" w:cstheme="majorBidi"/>
          <w:color w:val="000000"/>
          <w:sz w:val="24"/>
          <w:szCs w:val="24"/>
        </w:rPr>
        <w:t xml:space="preserve"> relaxation time (IVRT). The random-effect analysis demonstrated no significant difference in E/A ratio (MD 0.14, 95% CI -0.17 to 0.44; P=0.19, I2=64%) between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placebo. Similarly, IVRT showed no statistically significant results (MD –0. 95, 95%CI –3.49 to 1.59; P=0.25), however, the analysis demonstrated excellent consistency across studies, with zero between-study heterogeneity (I2=0%). </w:t>
      </w:r>
      <w:r w:rsidR="00795625" w:rsidRPr="00A8664F">
        <w:rPr>
          <w:rFonts w:asciiTheme="majorBidi" w:eastAsia="Times New Roman" w:hAnsiTheme="majorBidi" w:cstheme="majorBidi"/>
          <w:color w:val="000000"/>
          <w:sz w:val="24"/>
          <w:szCs w:val="24"/>
        </w:rPr>
        <w:t xml:space="preserve">Previous systematic reviews and meta-analyses of </w:t>
      </w:r>
      <w:proofErr w:type="spellStart"/>
      <w:r w:rsidR="00795625" w:rsidRPr="00A8664F">
        <w:rPr>
          <w:rFonts w:asciiTheme="majorBidi" w:eastAsia="Times New Roman" w:hAnsiTheme="majorBidi" w:cstheme="majorBidi"/>
          <w:color w:val="000000"/>
          <w:sz w:val="24"/>
          <w:szCs w:val="24"/>
        </w:rPr>
        <w:t>cardioprotective</w:t>
      </w:r>
      <w:proofErr w:type="spellEnd"/>
      <w:r w:rsidR="00795625" w:rsidRPr="00A8664F">
        <w:rPr>
          <w:rFonts w:asciiTheme="majorBidi" w:eastAsia="Times New Roman" w:hAnsiTheme="majorBidi" w:cstheme="majorBidi"/>
          <w:color w:val="000000"/>
          <w:sz w:val="24"/>
          <w:szCs w:val="24"/>
        </w:rPr>
        <w:t xml:space="preserve"> interventions have likewise reported inconsistent effects on diastolic parameters [11–14]</w:t>
      </w:r>
      <w:r w:rsidRPr="00A8664F">
        <w:rPr>
          <w:rFonts w:asciiTheme="majorBidi" w:eastAsia="Times New Roman" w:hAnsiTheme="majorBidi" w:cstheme="majorBidi"/>
          <w:color w:val="000000"/>
          <w:sz w:val="24"/>
          <w:szCs w:val="24"/>
        </w:rPr>
        <w:t xml:space="preserve">. Interestingly, a recent network meta-analysis has demonstrated that in terms of diastolic function (E/A ratio),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outperformed other β-blockers. However, no other intervention had a statistically significant effect on LVEDD [14]. This apparent difference from our direct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analysis may reflect differences in analytical framework, indirect treatment comparisons, included populations, and study selection. </w:t>
      </w:r>
      <w:r w:rsidR="00032031" w:rsidRPr="00A8664F">
        <w:rPr>
          <w:rFonts w:asciiTheme="majorBidi" w:eastAsia="Times New Roman" w:hAnsiTheme="majorBidi" w:cstheme="majorBidi"/>
          <w:color w:val="000000"/>
          <w:sz w:val="24"/>
          <w:szCs w:val="24"/>
        </w:rPr>
        <w:t xml:space="preserve">Notably, the fixed-effect sensitivity analysis demonstrated a statistically significant higher E/A ratio with </w:t>
      </w:r>
      <w:proofErr w:type="spellStart"/>
      <w:r w:rsidR="00032031" w:rsidRPr="00A8664F">
        <w:rPr>
          <w:rFonts w:asciiTheme="majorBidi" w:eastAsia="Times New Roman" w:hAnsiTheme="majorBidi" w:cstheme="majorBidi"/>
          <w:color w:val="000000"/>
          <w:sz w:val="24"/>
          <w:szCs w:val="24"/>
        </w:rPr>
        <w:t>nebivolol</w:t>
      </w:r>
      <w:proofErr w:type="spellEnd"/>
      <w:r w:rsidR="00032031" w:rsidRPr="00A8664F">
        <w:rPr>
          <w:rFonts w:asciiTheme="majorBidi" w:eastAsia="Times New Roman" w:hAnsiTheme="majorBidi" w:cstheme="majorBidi"/>
          <w:color w:val="000000"/>
          <w:sz w:val="24"/>
          <w:szCs w:val="24"/>
        </w:rPr>
        <w:t xml:space="preserve"> (MD 0.10, 95% CI 0.03 to 0.18; P=0.006). However, this finding should be interpreted cautiously because the primary random-effects HKSJ analysis was statistically non-significant and moderate-to-substantial heterogeneity was present (I²=64%)</w:t>
      </w:r>
      <w:r w:rsidRPr="00A8664F">
        <w:rPr>
          <w:rFonts w:asciiTheme="majorBidi" w:eastAsia="Times New Roman" w:hAnsiTheme="majorBidi" w:cstheme="majorBidi"/>
          <w:color w:val="000000"/>
          <w:sz w:val="24"/>
          <w:szCs w:val="24"/>
        </w:rPr>
        <w:t>.</w:t>
      </w:r>
      <w:r w:rsidR="00032031" w:rsidRPr="00A8664F">
        <w:rPr>
          <w:rFonts w:asciiTheme="majorBidi" w:eastAsia="Times New Roman" w:hAnsiTheme="majorBidi" w:cstheme="majorBidi"/>
          <w:color w:val="000000"/>
          <w:sz w:val="24"/>
          <w:szCs w:val="24"/>
        </w:rPr>
        <w:t xml:space="preserve"> </w:t>
      </w:r>
      <w:r w:rsidRPr="00A8664F">
        <w:rPr>
          <w:rFonts w:asciiTheme="majorBidi" w:eastAsia="Times New Roman" w:hAnsiTheme="majorBidi" w:cstheme="majorBidi"/>
          <w:color w:val="000000"/>
          <w:sz w:val="24"/>
          <w:szCs w:val="24"/>
        </w:rPr>
        <w:t xml:space="preserve">Also, leave-one-out analysis showed that excluding individual studies did not produce statistically significant results. Notably, excluding Kaya 2013 substantially reduced heterogeneity from I²=64% to I2=0%, yet the pooled effect remained non-significant (MD=0.05, 95% CI: −0.13 to 0.24). These findings suggest that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does not significantly modify the diastolic parameters in available studies, and the overall conclusion appears robust to the influence of individual studies.</w:t>
      </w:r>
    </w:p>
    <w:p w14:paraId="52B18985"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was associated with a pooled RR of 0.20 for all-cause mortality, suggesting a potentially lower risk of deaths compared with placebo/no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However, this estimate was not significant. The interpretation of this finding is greatly limited by the sparse number of mortality events, with only two deaths observed across the included studies and by the resulting wide 95% confidence interval (0.01-4.04). This interval suggests that the result is too uncertain to know whether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actually reduces or increases mortality. Furthermore, mortality could not be estimated in three of the four included studies because no events occurred in either treatment group. Therefore, the observed point should be interpreted with caution as the available evidence is not sufficient to establish a mortality benefit. </w:t>
      </w:r>
    </w:p>
    <w:p w14:paraId="7FF59372" w14:textId="77777777" w:rsidR="002C1C89" w:rsidRPr="00A8664F" w:rsidRDefault="00110E0D"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Taken together, the findings suggest a possible </w:t>
      </w:r>
      <w:proofErr w:type="spellStart"/>
      <w:r w:rsidRPr="00A8664F">
        <w:rPr>
          <w:rFonts w:asciiTheme="majorBidi" w:eastAsia="Times New Roman" w:hAnsiTheme="majorBidi" w:cstheme="majorBidi"/>
          <w:color w:val="000000"/>
          <w:sz w:val="24"/>
          <w:szCs w:val="24"/>
        </w:rPr>
        <w:t>cardioprotective</w:t>
      </w:r>
      <w:proofErr w:type="spellEnd"/>
      <w:r w:rsidRPr="00A8664F">
        <w:rPr>
          <w:rFonts w:asciiTheme="majorBidi" w:eastAsia="Times New Roman" w:hAnsiTheme="majorBidi" w:cstheme="majorBidi"/>
          <w:color w:val="000000"/>
          <w:sz w:val="24"/>
          <w:szCs w:val="24"/>
        </w:rPr>
        <w:t xml:space="preserve"> effect of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although the evidence is not yet strong enough to establish a definitive clinical benefit. The clearest signal was seen in systolic function, where LVEF showed a numerical improvement with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while the measures of diastolic function, E/A ratio and IVRT, did not show significant differences. Similarly, neither LVEDD nor LVESD demonstrated significant changes, suggesting that the observed improvement in systolic function was not accompanied by clear evidence of structural ventricular remodeling. Importantly, most of these outcomes are surrogate measures of cardiac function rather than direct measures of patient benefit. Although the point estimate for all-cause mortality favored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the very small number of events and wide confidence interval make it difficult to determine whether this translates into a meaningful survival benefit. Overall, the findings therefore point toward a potential </w:t>
      </w:r>
      <w:proofErr w:type="spellStart"/>
      <w:r w:rsidRPr="00A8664F">
        <w:rPr>
          <w:rFonts w:asciiTheme="majorBidi" w:eastAsia="Times New Roman" w:hAnsiTheme="majorBidi" w:cstheme="majorBidi"/>
          <w:color w:val="000000"/>
          <w:sz w:val="24"/>
          <w:szCs w:val="24"/>
        </w:rPr>
        <w:t>cardioprotective</w:t>
      </w:r>
      <w:proofErr w:type="spellEnd"/>
      <w:r w:rsidRPr="00A8664F">
        <w:rPr>
          <w:rFonts w:asciiTheme="majorBidi" w:eastAsia="Times New Roman" w:hAnsiTheme="majorBidi" w:cstheme="majorBidi"/>
          <w:color w:val="000000"/>
          <w:sz w:val="24"/>
          <w:szCs w:val="24"/>
        </w:rPr>
        <w:t xml:space="preserve"> signal, particularly for systolic function, but this interpretation remains uncertain given the inconsistent findings across outcomes, substantial heterogeneity in some analyses, and the low to very low certainty of evidence for most cardiac outcomes. Larger, adequately powered trials with longer follow-up and clinically relevant endpoints are needed to determine whether preservation of cardiac function with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ultimately translates into meaningful clinical benefit.</w:t>
      </w:r>
    </w:p>
    <w:p w14:paraId="0B267E58" w14:textId="77777777" w:rsidR="002C1C89" w:rsidRPr="00A8664F" w:rsidRDefault="00110E0D" w:rsidP="00065F60">
      <w:pPr>
        <w:spacing w:before="240"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4.1 Heterogeneity and Sensitivity Analysis:</w:t>
      </w:r>
    </w:p>
    <w:p w14:paraId="5EC9A83E" w14:textId="6242C2D5" w:rsidR="002C1C89" w:rsidRPr="00A8664F" w:rsidRDefault="00110E0D" w:rsidP="00065F60">
      <w:pPr>
        <w:spacing w:before="240"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Upon analyzing the results considerable heterogeneity was observed for some of the echocardiographic outcomes, with it being high for LVEF (I²=82%) and LVEDD (I²=84%) and moderate for E/A ratio (I²=64%). This shows that the effects of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on the outcomes were inconsistent across different trials. This variability may reflect differences in the patient characteristics,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 exposures, </w:t>
      </w:r>
      <w:r w:rsidR="002E10B3" w:rsidRPr="00A8664F">
        <w:rPr>
          <w:rFonts w:asciiTheme="majorBidi" w:eastAsia="Times New Roman" w:hAnsiTheme="majorBidi" w:cstheme="majorBidi"/>
          <w:color w:val="000000"/>
          <w:sz w:val="24"/>
          <w:szCs w:val="24"/>
        </w:rPr>
        <w:t xml:space="preserve">treatment characteristics, timing and duration of </w:t>
      </w:r>
      <w:proofErr w:type="spellStart"/>
      <w:r w:rsidR="002E10B3" w:rsidRPr="00A8664F">
        <w:rPr>
          <w:rFonts w:asciiTheme="majorBidi" w:eastAsia="Times New Roman" w:hAnsiTheme="majorBidi" w:cstheme="majorBidi"/>
          <w:color w:val="000000"/>
          <w:sz w:val="24"/>
          <w:szCs w:val="24"/>
        </w:rPr>
        <w:t>nebivolol</w:t>
      </w:r>
      <w:proofErr w:type="spellEnd"/>
      <w:r w:rsidR="002E10B3" w:rsidRPr="00A8664F">
        <w:rPr>
          <w:rFonts w:asciiTheme="majorBidi" w:eastAsia="Times New Roman" w:hAnsiTheme="majorBidi" w:cstheme="majorBidi"/>
          <w:color w:val="000000"/>
          <w:sz w:val="24"/>
          <w:szCs w:val="24"/>
        </w:rPr>
        <w:t xml:space="preserve"> administration, follow-up durations</w:t>
      </w:r>
      <w:r w:rsidRPr="00A8664F">
        <w:rPr>
          <w:rFonts w:asciiTheme="majorBidi" w:eastAsia="Times New Roman" w:hAnsiTheme="majorBidi" w:cstheme="majorBidi"/>
          <w:color w:val="000000"/>
          <w:sz w:val="24"/>
          <w:szCs w:val="24"/>
        </w:rPr>
        <w:t xml:space="preserve"> and other methodological differences. The limited number of studies impedes conclusive identification of the exact underlying sources of the heterogeneity: however, the leave-one-out analyses do provide some insight into the role of individual trials. </w:t>
      </w:r>
    </w:p>
    <w:p w14:paraId="2CF09D31" w14:textId="77777777" w:rsidR="00795625" w:rsidRPr="00A8664F" w:rsidRDefault="00795625" w:rsidP="00065F60">
      <w:pPr>
        <w:spacing w:before="240"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Exclusion of Kaya 2013 reduced heterogeneity to 0% for LVEF, LVEDD, and E/A ratio, whereas IVRT already demonstrated no observed heterogeneity. Importantly, the corresponding pooled effects remained statistically non-significant, indicating that Kaya 2013 contributed substantially to between-study variability but did not determine the overall treatment conclusion.</w:t>
      </w:r>
    </w:p>
    <w:p w14:paraId="65EB2321" w14:textId="5E8A962E" w:rsidR="002C1C89" w:rsidRPr="00A8664F" w:rsidRDefault="00110E0D" w:rsidP="00065F60">
      <w:pPr>
        <w:spacing w:before="240"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For final LVEF, the primary random-effects HKSJ model analysis demonstrated a statistically non-significant pooled effect with high heterogeneity (MD 2.13, 95% CI −2.18 to 6.43; I² = 82%). </w:t>
      </w:r>
      <w:r w:rsidR="00795625" w:rsidRPr="00A8664F">
        <w:rPr>
          <w:rFonts w:asciiTheme="majorBidi" w:eastAsia="Times New Roman" w:hAnsiTheme="majorBidi" w:cstheme="majorBidi"/>
          <w:color w:val="000000"/>
          <w:sz w:val="24"/>
          <w:szCs w:val="24"/>
        </w:rPr>
        <w:t>In the leave-one-out analysis, exclusion of Kaya 2013 reduced heterogeneity from I²=82% to I²=0%, whereas exclusion of the other individual studies did not materially reduce heterogeneity. Nevertheless, all leave-one-out pooled estimates remained statistically non-significant.</w:t>
      </w:r>
      <w:r w:rsidRPr="00A8664F">
        <w:rPr>
          <w:rFonts w:asciiTheme="majorBidi" w:eastAsia="Times New Roman" w:hAnsiTheme="majorBidi" w:cstheme="majorBidi"/>
          <w:color w:val="000000"/>
          <w:sz w:val="24"/>
          <w:szCs w:val="24"/>
        </w:rPr>
        <w:t xml:space="preserve"> However, the fixed-effects sensitivity analysis does produce a statistically significant pooled estimate (MD 1.33, 95% CI 0.33 to 2.33; p = 0.009), with persistent substantial heterogeneity (I² = 77%). The difference between the random-effects and fixed-effects analyses suggests that </w:t>
      </w:r>
      <w:r w:rsidR="002E10B3" w:rsidRPr="00A8664F">
        <w:rPr>
          <w:rFonts w:asciiTheme="majorBidi" w:eastAsia="Times New Roman" w:hAnsiTheme="majorBidi" w:cstheme="majorBidi"/>
          <w:color w:val="000000"/>
          <w:sz w:val="24"/>
          <w:szCs w:val="24"/>
        </w:rPr>
        <w:t>the pooled estimate for final LVEF is sensitive to the statistical model used</w:t>
      </w:r>
      <w:r w:rsidRPr="00A8664F">
        <w:rPr>
          <w:rFonts w:asciiTheme="majorBidi" w:eastAsia="Times New Roman" w:hAnsiTheme="majorBidi" w:cstheme="majorBidi"/>
          <w:color w:val="000000"/>
          <w:sz w:val="24"/>
          <w:szCs w:val="24"/>
        </w:rPr>
        <w:t xml:space="preserve">. Given the high heterogeneity these results should be interpreted cautiously. This finding supports the possibility that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may increase LVEF in some settings, but does not prove that this effect is constant across patients receiving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 therapy. </w:t>
      </w:r>
    </w:p>
    <w:p w14:paraId="08AF97A9" w14:textId="77777777" w:rsidR="002C1C89" w:rsidRPr="00A8664F" w:rsidRDefault="00110E0D" w:rsidP="00065F60">
      <w:pPr>
        <w:spacing w:before="240"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On the contrary, the sensitivity analyses for LVESD and LVEDD were consistent with their respective primary analysis models. For these outcomes the fixed-effects sensitivity analyses showed no statistically significant difference between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control with relative respective heterogeneities. Overall the sensitivity analyses suggested that most of the findings were stable to the exclusion of individual studies.</w:t>
      </w:r>
    </w:p>
    <w:p w14:paraId="5359ECBC" w14:textId="77777777" w:rsidR="002C1C89" w:rsidRPr="00A8664F" w:rsidRDefault="00110E0D" w:rsidP="00065F60">
      <w:pPr>
        <w:spacing w:before="240" w:after="0" w:line="276" w:lineRule="auto"/>
        <w:jc w:val="both"/>
        <w:rPr>
          <w:rFonts w:asciiTheme="majorBidi" w:eastAsia="Times New Roman" w:hAnsiTheme="majorBidi" w:cstheme="majorBidi"/>
          <w:b/>
          <w:bCs/>
          <w:i/>
          <w:iCs/>
          <w:color w:val="000000"/>
          <w:sz w:val="24"/>
          <w:szCs w:val="24"/>
        </w:rPr>
      </w:pPr>
      <w:r w:rsidRPr="00A8664F">
        <w:rPr>
          <w:rFonts w:asciiTheme="majorBidi" w:eastAsia="Times New Roman" w:hAnsiTheme="majorBidi" w:cstheme="majorBidi"/>
          <w:b/>
          <w:bCs/>
          <w:i/>
          <w:iCs/>
          <w:color w:val="000000"/>
          <w:sz w:val="24"/>
          <w:szCs w:val="24"/>
        </w:rPr>
        <w:t>4.2 Strengths and limitations:</w:t>
      </w:r>
    </w:p>
    <w:p w14:paraId="3CCE673B" w14:textId="77777777" w:rsidR="00795625" w:rsidRPr="00A8664F" w:rsidRDefault="00795625" w:rsidP="00065F60">
      <w:pPr>
        <w:spacing w:before="240"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This review has several strengths, including its specific focus on prophylactic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and its synthesis of evidence exclusively from randomized controlled trials. The review adhered to PRISMA guidance, used duplicate screening, assessed study-level risk of bias using </w:t>
      </w:r>
      <w:proofErr w:type="spellStart"/>
      <w:r w:rsidRPr="00A8664F">
        <w:rPr>
          <w:rFonts w:asciiTheme="majorBidi" w:eastAsia="Times New Roman" w:hAnsiTheme="majorBidi" w:cstheme="majorBidi"/>
          <w:color w:val="000000"/>
          <w:sz w:val="24"/>
          <w:szCs w:val="24"/>
        </w:rPr>
        <w:t>RoB</w:t>
      </w:r>
      <w:proofErr w:type="spellEnd"/>
      <w:r w:rsidRPr="00A8664F">
        <w:rPr>
          <w:rFonts w:asciiTheme="majorBidi" w:eastAsia="Times New Roman" w:hAnsiTheme="majorBidi" w:cstheme="majorBidi"/>
          <w:color w:val="000000"/>
          <w:sz w:val="24"/>
          <w:szCs w:val="24"/>
        </w:rPr>
        <w:t xml:space="preserve"> 2, and evaluated outcome-level certainty of evidence using the GRADE framework.</w:t>
      </w:r>
    </w:p>
    <w:p w14:paraId="7BB0AE17" w14:textId="77777777" w:rsidR="00032031" w:rsidRPr="00A8664F" w:rsidRDefault="00032031" w:rsidP="00065F60">
      <w:pPr>
        <w:spacing w:after="0" w:line="276" w:lineRule="auto"/>
        <w:jc w:val="both"/>
        <w:rPr>
          <w:rFonts w:asciiTheme="majorBidi" w:hAnsiTheme="majorBidi" w:cstheme="majorBidi"/>
          <w:sz w:val="24"/>
          <w:szCs w:val="24"/>
        </w:rPr>
      </w:pPr>
      <w:r w:rsidRPr="00A8664F">
        <w:rPr>
          <w:rFonts w:asciiTheme="majorBidi" w:hAnsiTheme="majorBidi" w:cstheme="majorBidi"/>
          <w:sz w:val="24"/>
          <w:szCs w:val="24"/>
        </w:rPr>
        <w:t>Several limitations should be considered when interpreting these findings. First, the evidence base was small, comprising only four randomized controlled trials with relatively limited sample sizes, which reduced statistical power and contributed to imprecision in the pooled estimates. The small number of eligible studies also precluded meaningful subgroup or meta-regression analyses and limited our ability to formally assess publication bias. Second, clinically meaningful cardiovascular outcomes were sparsely reported. In particular, all-cause mortality was informed by very few events, with only one study contributing an estimable treatment effect, preventing reliable conclusions regarding survival benefit. Similarly, outcomes such as symptomatic heart failure, heart-failure hospitalization, cancer therapy–related cardiac dysfunction, adverse events, and treatment discontinuation were inconsistently reported across trials and therefore could not be quantitatively synthesized.</w:t>
      </w:r>
    </w:p>
    <w:p w14:paraId="4413A2DD" w14:textId="77777777" w:rsidR="00032031" w:rsidRPr="00A8664F" w:rsidRDefault="00032031" w:rsidP="00065F60">
      <w:pPr>
        <w:spacing w:after="0" w:line="276" w:lineRule="auto"/>
        <w:jc w:val="both"/>
        <w:rPr>
          <w:rFonts w:asciiTheme="majorBidi" w:hAnsiTheme="majorBidi" w:cstheme="majorBidi"/>
          <w:sz w:val="24"/>
          <w:szCs w:val="24"/>
        </w:rPr>
      </w:pPr>
    </w:p>
    <w:p w14:paraId="460F5B2F" w14:textId="63030BE2" w:rsidR="00032031" w:rsidRPr="00A8664F" w:rsidRDefault="00032031" w:rsidP="00065F60">
      <w:pPr>
        <w:spacing w:after="0" w:line="276" w:lineRule="auto"/>
        <w:jc w:val="both"/>
        <w:rPr>
          <w:rFonts w:asciiTheme="majorBidi" w:hAnsiTheme="majorBidi" w:cstheme="majorBidi"/>
          <w:sz w:val="24"/>
          <w:szCs w:val="24"/>
        </w:rPr>
      </w:pPr>
      <w:r w:rsidRPr="00A8664F">
        <w:rPr>
          <w:rFonts w:asciiTheme="majorBidi" w:hAnsiTheme="majorBidi" w:cstheme="majorBidi"/>
          <w:sz w:val="24"/>
          <w:szCs w:val="24"/>
        </w:rPr>
        <w:t xml:space="preserve">Clinical and methodological heterogeneity should also be acknowledged. The included studies differed in cancer populations, </w:t>
      </w:r>
      <w:proofErr w:type="spellStart"/>
      <w:r w:rsidRPr="00A8664F">
        <w:rPr>
          <w:rFonts w:asciiTheme="majorBidi" w:hAnsiTheme="majorBidi" w:cstheme="majorBidi"/>
          <w:sz w:val="24"/>
          <w:szCs w:val="24"/>
        </w:rPr>
        <w:t>anthracycline</w:t>
      </w:r>
      <w:proofErr w:type="spellEnd"/>
      <w:r w:rsidRPr="00A8664F">
        <w:rPr>
          <w:rFonts w:asciiTheme="majorBidi" w:hAnsiTheme="majorBidi" w:cstheme="majorBidi"/>
          <w:sz w:val="24"/>
          <w:szCs w:val="24"/>
        </w:rPr>
        <w:t xml:space="preserve"> type and cumulative exposure, duration of follow-up, timing and duration of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administration relative to chemotherapy, and methods used to assess cardiac function. Although the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dose was consistent at 5 mg/day across all four trials, the treatment schedule and duration varied. Furthermore, the earlier studies predominantly enrolled women with breast cancer, whereas the more recent CONTROL trial also included patients with diffuse large B-cell lymphoma, potentially limiting the generalizability of the findings to broader cancer populations, particularly men. Cardiac outcomes were also assessed using different imaging approaches, with most earlier trials relying on echocardiography whereas the CONTROL trial used cardiac magnetic resonance for its primary LVEF assessment. Finally, substantial between-study heterogeneity was observed for several outcomes, particularly LVEF, LVEDD, and E/A ratio, and the certainty of evidence was low to very low for most echocardiographic outcomes. Consequently, the available evidence is better suited to evaluating potential effects of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on surrogate measures of cardiac function than to establishing whether prophylactic </w:t>
      </w:r>
      <w:proofErr w:type="spellStart"/>
      <w:r w:rsidRPr="00A8664F">
        <w:rPr>
          <w:rFonts w:asciiTheme="majorBidi" w:hAnsiTheme="majorBidi" w:cstheme="majorBidi"/>
          <w:sz w:val="24"/>
          <w:szCs w:val="24"/>
        </w:rPr>
        <w:t>nebivolol</w:t>
      </w:r>
      <w:proofErr w:type="spellEnd"/>
      <w:r w:rsidRPr="00A8664F">
        <w:rPr>
          <w:rFonts w:asciiTheme="majorBidi" w:hAnsiTheme="majorBidi" w:cstheme="majorBidi"/>
          <w:sz w:val="24"/>
          <w:szCs w:val="24"/>
        </w:rPr>
        <w:t xml:space="preserve"> reduces clinically meaningful cardiovascular morbidity or mortality.</w:t>
      </w:r>
    </w:p>
    <w:p w14:paraId="1D1DBE7B" w14:textId="77777777" w:rsidR="00C24DEF" w:rsidRPr="00A8664F" w:rsidRDefault="00C24DEF" w:rsidP="00065F60">
      <w:pPr>
        <w:spacing w:after="0" w:line="276" w:lineRule="auto"/>
        <w:jc w:val="both"/>
        <w:rPr>
          <w:rFonts w:asciiTheme="majorBidi" w:hAnsiTheme="majorBidi" w:cstheme="majorBidi"/>
          <w:sz w:val="24"/>
          <w:szCs w:val="24"/>
        </w:rPr>
      </w:pPr>
    </w:p>
    <w:p w14:paraId="2C6B4A5C" w14:textId="1C1ADEAA" w:rsidR="002C1C89" w:rsidRPr="00A8664F" w:rsidRDefault="00032031" w:rsidP="00065F60">
      <w:pPr>
        <w:pStyle w:val="Heading2"/>
        <w:spacing w:line="276" w:lineRule="auto"/>
        <w:ind w:left="720"/>
        <w:jc w:val="both"/>
        <w:rPr>
          <w:rFonts w:asciiTheme="majorBidi" w:hAnsiTheme="majorBidi" w:cstheme="majorBidi"/>
          <w:b/>
          <w:bCs/>
          <w:color w:val="000000"/>
          <w:sz w:val="24"/>
          <w:szCs w:val="24"/>
        </w:rPr>
      </w:pPr>
      <w:r w:rsidRPr="00A8664F">
        <w:rPr>
          <w:rFonts w:asciiTheme="majorBidi" w:hAnsiTheme="majorBidi" w:cstheme="majorBidi"/>
          <w:b/>
          <w:bCs/>
          <w:color w:val="000000"/>
          <w:sz w:val="24"/>
          <w:szCs w:val="24"/>
        </w:rPr>
        <w:t>5. Conclusion:</w:t>
      </w:r>
    </w:p>
    <w:p w14:paraId="64BB1182" w14:textId="192144A3" w:rsidR="002C1C89" w:rsidRPr="00A8664F" w:rsidRDefault="00032031"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In patients receiving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-based chemotherapy, prophylactic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did not significantly improve final LVEF, LVEDD, LVESD, IVRT, E/A ratio, or all-cause mortality in the primary random-effects analyses. Although several point estimates numerically favored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and some fixed-effect sensitivity analyses reached statistical significance, the overall evidence was limited by small sample sizes, sparse clinical events, and substantial heterogeneity for several echocardiographic outcomes. Current evidence therefore suggests a possible </w:t>
      </w:r>
      <w:proofErr w:type="spellStart"/>
      <w:r w:rsidRPr="00A8664F">
        <w:rPr>
          <w:rFonts w:asciiTheme="majorBidi" w:eastAsia="Times New Roman" w:hAnsiTheme="majorBidi" w:cstheme="majorBidi"/>
          <w:sz w:val="24"/>
          <w:szCs w:val="24"/>
        </w:rPr>
        <w:t>cardioprotective</w:t>
      </w:r>
      <w:proofErr w:type="spellEnd"/>
      <w:r w:rsidRPr="00A8664F">
        <w:rPr>
          <w:rFonts w:asciiTheme="majorBidi" w:eastAsia="Times New Roman" w:hAnsiTheme="majorBidi" w:cstheme="majorBidi"/>
          <w:sz w:val="24"/>
          <w:szCs w:val="24"/>
        </w:rPr>
        <w:t xml:space="preserve"> signal but does not establish a definitive clinical benefit of prophylactic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Larger, adequately powered randomized trials with standardized treatment regimens, longer follow-up, and clinically meaningful cardiovascular endpoints are required.</w:t>
      </w:r>
    </w:p>
    <w:p w14:paraId="07E5734D" w14:textId="77777777" w:rsidR="00CA31F3" w:rsidRPr="00A8664F" w:rsidRDefault="00CA31F3" w:rsidP="00065F60">
      <w:pPr>
        <w:spacing w:after="0" w:line="276" w:lineRule="auto"/>
        <w:rPr>
          <w:rFonts w:asciiTheme="majorBidi" w:hAnsiTheme="majorBidi" w:cstheme="majorBidi"/>
          <w:b/>
          <w:sz w:val="24"/>
          <w:szCs w:val="24"/>
          <w:lang w:val="en-US"/>
        </w:rPr>
      </w:pPr>
      <w:r w:rsidRPr="00A8664F">
        <w:rPr>
          <w:rFonts w:asciiTheme="majorBidi" w:eastAsia="MS Mincho" w:hAnsiTheme="majorBidi" w:cstheme="majorBidi"/>
          <w:b/>
          <w:sz w:val="24"/>
          <w:szCs w:val="24"/>
          <w:lang w:val="en-AU" w:eastAsia="ja-JP"/>
        </w:rPr>
        <w:t>Declarations:</w:t>
      </w:r>
      <w:r w:rsidRPr="00A8664F">
        <w:rPr>
          <w:rFonts w:asciiTheme="majorBidi" w:eastAsia="MS Mincho" w:hAnsiTheme="majorBidi" w:cstheme="majorBidi"/>
          <w:sz w:val="24"/>
          <w:szCs w:val="24"/>
          <w:lang w:val="en-AU" w:eastAsia="ja-JP"/>
        </w:rPr>
        <w:t xml:space="preserve"> </w:t>
      </w:r>
    </w:p>
    <w:p w14:paraId="0884F9D0" w14:textId="77777777" w:rsidR="00CA31F3" w:rsidRPr="00A8664F" w:rsidRDefault="00CA31F3" w:rsidP="00065F60">
      <w:pPr>
        <w:spacing w:after="0" w:line="276" w:lineRule="auto"/>
        <w:rPr>
          <w:rFonts w:asciiTheme="majorBidi" w:eastAsia="MS Mincho" w:hAnsiTheme="majorBidi" w:cstheme="majorBidi"/>
          <w:b/>
          <w:sz w:val="24"/>
          <w:szCs w:val="24"/>
          <w:lang w:val="en-US" w:eastAsia="ja-JP"/>
        </w:rPr>
      </w:pPr>
      <w:r w:rsidRPr="00A8664F">
        <w:rPr>
          <w:rFonts w:asciiTheme="majorBidi" w:eastAsia="MS Mincho" w:hAnsiTheme="majorBidi" w:cstheme="majorBidi"/>
          <w:b/>
          <w:sz w:val="24"/>
          <w:szCs w:val="24"/>
          <w:lang w:val="en-US" w:eastAsia="ja-JP"/>
        </w:rPr>
        <w:t>Ethics Approval and Consent to Participate</w:t>
      </w:r>
    </w:p>
    <w:p w14:paraId="707053D0" w14:textId="77777777" w:rsidR="00CA31F3" w:rsidRPr="00A8664F" w:rsidRDefault="00CA31F3" w:rsidP="00065F60">
      <w:pPr>
        <w:spacing w:after="0" w:line="276" w:lineRule="auto"/>
        <w:rPr>
          <w:rFonts w:asciiTheme="majorBidi" w:eastAsia="MS Mincho" w:hAnsiTheme="majorBidi" w:cstheme="majorBidi"/>
          <w:sz w:val="24"/>
          <w:szCs w:val="24"/>
          <w:lang w:val="en-AU" w:eastAsia="ja-JP"/>
        </w:rPr>
      </w:pPr>
      <w:r w:rsidRPr="00A8664F">
        <w:rPr>
          <w:rFonts w:asciiTheme="majorBidi" w:eastAsia="MS Mincho" w:hAnsiTheme="majorBidi" w:cstheme="majorBidi"/>
          <w:sz w:val="24"/>
          <w:szCs w:val="24"/>
          <w:lang w:val="en-AU" w:eastAsia="ja-JP"/>
        </w:rPr>
        <w:t>Not Applicable. This study is a systematic review and meta-analysis of previously published studies. As such, it did not involve direct contact with human or animal subjects, and ethical approval was not required.</w:t>
      </w:r>
    </w:p>
    <w:p w14:paraId="204C35B2" w14:textId="77777777" w:rsidR="00CA31F3" w:rsidRPr="00A8664F" w:rsidRDefault="00CA31F3" w:rsidP="00065F60">
      <w:pPr>
        <w:spacing w:after="0" w:line="276" w:lineRule="auto"/>
        <w:rPr>
          <w:rFonts w:asciiTheme="majorBidi" w:eastAsia="MS Mincho" w:hAnsiTheme="majorBidi" w:cstheme="majorBidi"/>
          <w:b/>
          <w:sz w:val="24"/>
          <w:szCs w:val="24"/>
          <w:lang w:val="en-US" w:eastAsia="ja-JP"/>
        </w:rPr>
      </w:pPr>
      <w:r w:rsidRPr="00A8664F">
        <w:rPr>
          <w:rFonts w:asciiTheme="majorBidi" w:eastAsia="MS Mincho" w:hAnsiTheme="majorBidi" w:cstheme="majorBidi"/>
          <w:b/>
          <w:sz w:val="24"/>
          <w:szCs w:val="24"/>
          <w:lang w:val="en-US" w:eastAsia="ja-JP"/>
        </w:rPr>
        <w:t>Consent for Publication</w:t>
      </w:r>
    </w:p>
    <w:p w14:paraId="26B4AD21" w14:textId="77777777" w:rsidR="00CA31F3" w:rsidRPr="00A8664F" w:rsidRDefault="00CA31F3" w:rsidP="00065F60">
      <w:pPr>
        <w:spacing w:after="0" w:line="276" w:lineRule="auto"/>
        <w:rPr>
          <w:rFonts w:asciiTheme="majorBidi" w:eastAsia="MS Mincho" w:hAnsiTheme="majorBidi" w:cstheme="majorBidi"/>
          <w:sz w:val="24"/>
          <w:szCs w:val="24"/>
          <w:lang w:val="en-US" w:eastAsia="ja-JP"/>
        </w:rPr>
      </w:pPr>
      <w:r w:rsidRPr="00A8664F">
        <w:rPr>
          <w:rFonts w:asciiTheme="majorBidi" w:eastAsia="MS Mincho" w:hAnsiTheme="majorBidi" w:cstheme="majorBidi"/>
          <w:sz w:val="24"/>
          <w:szCs w:val="24"/>
          <w:lang w:val="en-AU" w:eastAsia="ja-JP"/>
        </w:rPr>
        <w:t>Not Applicable. This study is a systematic review and meta-analysis of previously published, aggregated data. No primary patient data was collected, and therefore, patient consent was not required.</w:t>
      </w:r>
    </w:p>
    <w:p w14:paraId="7C629F0E" w14:textId="77777777" w:rsidR="00CA31F3" w:rsidRPr="00A8664F" w:rsidRDefault="00CA31F3" w:rsidP="00065F60">
      <w:pPr>
        <w:spacing w:after="0" w:line="276" w:lineRule="auto"/>
        <w:rPr>
          <w:rFonts w:asciiTheme="majorBidi" w:eastAsia="MS Mincho" w:hAnsiTheme="majorBidi" w:cstheme="majorBidi"/>
          <w:b/>
          <w:sz w:val="24"/>
          <w:szCs w:val="24"/>
          <w:lang w:val="en-US" w:eastAsia="ja-JP"/>
        </w:rPr>
      </w:pPr>
      <w:r w:rsidRPr="00A8664F">
        <w:rPr>
          <w:rFonts w:asciiTheme="majorBidi" w:eastAsia="MS Mincho" w:hAnsiTheme="majorBidi" w:cstheme="majorBidi"/>
          <w:b/>
          <w:sz w:val="24"/>
          <w:szCs w:val="24"/>
          <w:lang w:val="en-US" w:eastAsia="ja-JP"/>
        </w:rPr>
        <w:t>Availability of Data and Materials</w:t>
      </w:r>
    </w:p>
    <w:p w14:paraId="6E7CD4A5" w14:textId="77777777" w:rsidR="00CA31F3" w:rsidRPr="00A8664F" w:rsidRDefault="00CA31F3" w:rsidP="00065F60">
      <w:pPr>
        <w:spacing w:after="0" w:line="276" w:lineRule="auto"/>
        <w:rPr>
          <w:rFonts w:asciiTheme="majorBidi" w:eastAsia="MS Mincho" w:hAnsiTheme="majorBidi" w:cstheme="majorBidi"/>
          <w:bCs/>
          <w:color w:val="404040"/>
          <w:sz w:val="24"/>
          <w:szCs w:val="24"/>
          <w:lang w:val="en-US" w:eastAsia="ja-JP"/>
        </w:rPr>
      </w:pPr>
      <w:r w:rsidRPr="00A8664F">
        <w:rPr>
          <w:rFonts w:asciiTheme="majorBidi" w:eastAsia="MS Mincho" w:hAnsiTheme="majorBidi" w:cstheme="majorBidi"/>
          <w:bCs/>
          <w:color w:val="404040"/>
          <w:sz w:val="24"/>
          <w:szCs w:val="24"/>
          <w:lang w:val="en-US" w:eastAsia="ja-JP"/>
        </w:rPr>
        <w:t>All data generated or analyzed during this study are included in this published article and its supplementary information files. The extracted data supporting the findings of this meta-analysis can be requested from the corresponding author on reasonable request.</w:t>
      </w:r>
    </w:p>
    <w:p w14:paraId="45F6A1D2" w14:textId="77777777" w:rsidR="00CA31F3" w:rsidRPr="00A8664F" w:rsidRDefault="00CA31F3" w:rsidP="00065F60">
      <w:pPr>
        <w:spacing w:after="0" w:line="276" w:lineRule="auto"/>
        <w:rPr>
          <w:rFonts w:asciiTheme="majorBidi" w:eastAsia="MS Mincho" w:hAnsiTheme="majorBidi" w:cstheme="majorBidi"/>
          <w:b/>
          <w:bCs/>
          <w:sz w:val="24"/>
          <w:szCs w:val="24"/>
          <w:lang w:val="en-AU" w:eastAsia="ja-JP"/>
        </w:rPr>
      </w:pPr>
      <w:r w:rsidRPr="00A8664F">
        <w:rPr>
          <w:rFonts w:asciiTheme="majorBidi" w:eastAsia="MS Mincho" w:hAnsiTheme="majorBidi" w:cstheme="majorBidi"/>
          <w:b/>
          <w:sz w:val="24"/>
          <w:szCs w:val="24"/>
          <w:lang w:val="en-US" w:eastAsia="ja-JP"/>
        </w:rPr>
        <w:t>PROSPERO Registration</w:t>
      </w:r>
      <w:r w:rsidRPr="00A8664F">
        <w:rPr>
          <w:rFonts w:asciiTheme="majorBidi" w:eastAsia="MS Mincho" w:hAnsiTheme="majorBidi" w:cstheme="majorBidi"/>
          <w:sz w:val="24"/>
          <w:szCs w:val="24"/>
          <w:lang w:val="en-US" w:eastAsia="ja-JP"/>
        </w:rPr>
        <w:t>: The protocol of this systematic review and meta-analysis is registered under PROSPERO, having ID</w:t>
      </w:r>
      <w:r w:rsidRPr="00A8664F">
        <w:rPr>
          <w:rFonts w:asciiTheme="majorBidi" w:hAnsiTheme="majorBidi" w:cstheme="majorBidi"/>
          <w:sz w:val="24"/>
          <w:szCs w:val="24"/>
          <w:lang w:val="en-US"/>
        </w:rPr>
        <w:t xml:space="preserve"> CRD420261465600</w:t>
      </w:r>
    </w:p>
    <w:p w14:paraId="21AAD413" w14:textId="77777777" w:rsidR="00CA31F3" w:rsidRPr="00A8664F" w:rsidRDefault="00CA31F3" w:rsidP="00065F60">
      <w:pPr>
        <w:spacing w:after="0" w:line="276" w:lineRule="auto"/>
        <w:rPr>
          <w:rFonts w:asciiTheme="majorBidi" w:eastAsia="MS Mincho" w:hAnsiTheme="majorBidi" w:cstheme="majorBidi"/>
          <w:b/>
          <w:sz w:val="24"/>
          <w:szCs w:val="24"/>
          <w:lang w:val="en-US" w:eastAsia="ja-JP"/>
        </w:rPr>
      </w:pPr>
      <w:r w:rsidRPr="00A8664F">
        <w:rPr>
          <w:rFonts w:asciiTheme="majorBidi" w:eastAsia="MS Mincho" w:hAnsiTheme="majorBidi" w:cstheme="majorBidi"/>
          <w:b/>
          <w:sz w:val="24"/>
          <w:szCs w:val="24"/>
          <w:lang w:val="en-US" w:eastAsia="ja-JP"/>
        </w:rPr>
        <w:t>Conflict of Interests</w:t>
      </w:r>
    </w:p>
    <w:p w14:paraId="3196AE20" w14:textId="77777777" w:rsidR="00CA31F3" w:rsidRPr="00A8664F" w:rsidRDefault="00CA31F3" w:rsidP="00065F60">
      <w:pPr>
        <w:spacing w:after="0" w:line="276" w:lineRule="auto"/>
        <w:rPr>
          <w:rFonts w:asciiTheme="majorBidi" w:eastAsia="MS Mincho" w:hAnsiTheme="majorBidi" w:cstheme="majorBidi"/>
          <w:sz w:val="24"/>
          <w:szCs w:val="24"/>
          <w:lang w:val="en-US" w:eastAsia="ja-JP"/>
        </w:rPr>
      </w:pPr>
      <w:r w:rsidRPr="00A8664F">
        <w:rPr>
          <w:rFonts w:asciiTheme="majorBidi" w:eastAsia="MS Mincho" w:hAnsiTheme="majorBidi" w:cstheme="majorBidi"/>
          <w:sz w:val="24"/>
          <w:szCs w:val="24"/>
          <w:lang w:val="en-US" w:eastAsia="ja-JP"/>
        </w:rPr>
        <w:t>The authors declare that they have no known competing financial interests or personal relationships that could influence the work reported in this paper.</w:t>
      </w:r>
    </w:p>
    <w:p w14:paraId="7CA2D790" w14:textId="77777777" w:rsidR="00CA31F3" w:rsidRPr="00A8664F" w:rsidRDefault="00CA31F3" w:rsidP="00065F60">
      <w:pPr>
        <w:spacing w:after="0" w:line="276" w:lineRule="auto"/>
        <w:rPr>
          <w:rFonts w:asciiTheme="majorBidi" w:eastAsia="MS Mincho" w:hAnsiTheme="majorBidi" w:cstheme="majorBidi"/>
          <w:b/>
          <w:sz w:val="24"/>
          <w:szCs w:val="24"/>
          <w:lang w:val="en-US" w:eastAsia="ja-JP"/>
        </w:rPr>
      </w:pPr>
      <w:r w:rsidRPr="00A8664F">
        <w:rPr>
          <w:rFonts w:asciiTheme="majorBidi" w:eastAsia="MS Mincho" w:hAnsiTheme="majorBidi" w:cstheme="majorBidi"/>
          <w:b/>
          <w:sz w:val="24"/>
          <w:szCs w:val="24"/>
          <w:lang w:val="en-US" w:eastAsia="ja-JP"/>
        </w:rPr>
        <w:t>Funding</w:t>
      </w:r>
    </w:p>
    <w:p w14:paraId="0E34BCA1" w14:textId="77777777" w:rsidR="00CA31F3" w:rsidRPr="00A8664F" w:rsidRDefault="00CA31F3" w:rsidP="00065F60">
      <w:pPr>
        <w:spacing w:after="0" w:line="276" w:lineRule="auto"/>
        <w:rPr>
          <w:rFonts w:asciiTheme="majorBidi" w:eastAsia="MS Mincho" w:hAnsiTheme="majorBidi" w:cstheme="majorBidi"/>
          <w:sz w:val="24"/>
          <w:szCs w:val="24"/>
          <w:lang w:val="en-US" w:eastAsia="ja-JP"/>
        </w:rPr>
      </w:pPr>
      <w:r w:rsidRPr="00A8664F">
        <w:rPr>
          <w:rFonts w:asciiTheme="majorBidi" w:eastAsia="MS Mincho" w:hAnsiTheme="majorBidi" w:cstheme="majorBidi"/>
          <w:sz w:val="24"/>
          <w:szCs w:val="24"/>
          <w:lang w:val="en-US" w:eastAsia="ja-JP"/>
        </w:rPr>
        <w:t>The authors received no specific funding for this work.</w:t>
      </w:r>
    </w:p>
    <w:p w14:paraId="183535FF" w14:textId="77777777" w:rsidR="00CA31F3" w:rsidRPr="00A8664F" w:rsidRDefault="00CA31F3" w:rsidP="00065F60">
      <w:pPr>
        <w:spacing w:after="0" w:line="276" w:lineRule="auto"/>
        <w:rPr>
          <w:rFonts w:asciiTheme="majorBidi" w:eastAsia="Times New Roman" w:hAnsiTheme="majorBidi" w:cstheme="majorBidi"/>
          <w:b/>
          <w:bCs/>
          <w:sz w:val="24"/>
          <w:szCs w:val="24"/>
          <w:lang w:val="en-US"/>
        </w:rPr>
      </w:pPr>
      <w:r w:rsidRPr="00A8664F">
        <w:rPr>
          <w:rFonts w:asciiTheme="majorBidi" w:eastAsia="Times New Roman" w:hAnsiTheme="majorBidi" w:cstheme="majorBidi"/>
          <w:b/>
          <w:bCs/>
          <w:sz w:val="24"/>
          <w:szCs w:val="24"/>
          <w:lang w:val="en-US"/>
        </w:rPr>
        <w:t>AI Declaration:</w:t>
      </w:r>
    </w:p>
    <w:p w14:paraId="4C653261" w14:textId="77777777" w:rsidR="00CA31F3" w:rsidRPr="00A8664F" w:rsidRDefault="00CA31F3" w:rsidP="00065F60">
      <w:pPr>
        <w:spacing w:after="0" w:line="276" w:lineRule="auto"/>
        <w:rPr>
          <w:rFonts w:asciiTheme="majorBidi" w:eastAsia="Times New Roman" w:hAnsiTheme="majorBidi" w:cstheme="majorBidi"/>
          <w:sz w:val="24"/>
          <w:szCs w:val="24"/>
          <w:lang w:val="en-US"/>
        </w:rPr>
      </w:pPr>
      <w:r w:rsidRPr="00A8664F">
        <w:rPr>
          <w:rFonts w:asciiTheme="majorBidi" w:eastAsia="Times New Roman" w:hAnsiTheme="majorBidi" w:cstheme="majorBidi"/>
          <w:sz w:val="24"/>
          <w:szCs w:val="24"/>
          <w:lang w:val="en-US"/>
        </w:rPr>
        <w:t>No artificial intelligence tools were used in the generation of the scientific content, analysis, or conclusions of this manuscript. Limited AI assistance was used for language editing purposes only.</w:t>
      </w:r>
    </w:p>
    <w:p w14:paraId="6E31CF2A" w14:textId="614A9CA9" w:rsidR="00CA31F3" w:rsidRPr="00A8664F" w:rsidRDefault="00CA31F3" w:rsidP="00065F60">
      <w:pPr>
        <w:spacing w:before="240" w:after="0" w:line="276" w:lineRule="auto"/>
        <w:jc w:val="both"/>
        <w:rPr>
          <w:rFonts w:asciiTheme="majorBidi" w:eastAsia="Times New Roman" w:hAnsiTheme="majorBidi" w:cstheme="majorBidi"/>
          <w:sz w:val="24"/>
          <w:szCs w:val="24"/>
        </w:rPr>
      </w:pPr>
      <w:r w:rsidRPr="00A8664F">
        <w:rPr>
          <w:rFonts w:asciiTheme="majorBidi" w:hAnsiTheme="majorBidi" w:cstheme="majorBidi"/>
          <w:b/>
          <w:bCs/>
          <w:sz w:val="24"/>
          <w:szCs w:val="24"/>
        </w:rPr>
        <w:t xml:space="preserve">Author contributions: </w:t>
      </w:r>
      <w:r w:rsidRPr="00A8664F">
        <w:rPr>
          <w:rFonts w:asciiTheme="majorBidi" w:hAnsiTheme="majorBidi" w:cstheme="majorBidi"/>
          <w:sz w:val="24"/>
          <w:szCs w:val="24"/>
        </w:rPr>
        <w:t xml:space="preserve">Conception and design of the review and development of the search strategy: F.H. Study screening and selection: F.H., F.K., S.L., B.A., A.R., N.S., M.H., Z.R.S., M.S.A., S.A.M., S.S. Final decisions on study inclusion: F.H. Management of records, duplicate removal, and preparation of the secondary screening database: F.H., S.L., B.A., A.R. Identification of additional relevant studies: F.H., M.S.A. Data extraction and second review: F.H., F.K., B.A., A.R., M.H., M.S.A., S.S., H.M. Extraction and verification of baseline characteristics: F.H., B.A., S.A.M., H.M., M.R.Z. Statistical analysis and production of forest plots: F.H., F.K. and M.H. (all-cause mortality and LVEF), N.S. (LVESD and LVEDD), S.L. (LVEDD and cross-checking of LVESD), A.R. (E/A ratio), and B.A. (IVRT and cross-checking of E/A ratio). Risk-of-bias and quality assessment: F.H., F.K., Z.R.S. GRADE assessment: F.H., F.K., S.L., B.A., N.S., M.S.A. PRISMA flow diagram: F.H., B.A. PROSPERO registration: F.H., A.R. Duplicate resolution and </w:t>
      </w:r>
      <w:proofErr w:type="spellStart"/>
      <w:r w:rsidRPr="00A8664F">
        <w:rPr>
          <w:rFonts w:asciiTheme="majorBidi" w:hAnsiTheme="majorBidi" w:cstheme="majorBidi"/>
          <w:sz w:val="24"/>
          <w:szCs w:val="24"/>
        </w:rPr>
        <w:t>Rayyan</w:t>
      </w:r>
      <w:proofErr w:type="spellEnd"/>
      <w:r w:rsidRPr="00A8664F">
        <w:rPr>
          <w:rFonts w:asciiTheme="majorBidi" w:hAnsiTheme="majorBidi" w:cstheme="majorBidi"/>
          <w:sz w:val="24"/>
          <w:szCs w:val="24"/>
        </w:rPr>
        <w:t xml:space="preserve"> project management: F.H., S.L. Drafting of the manuscript: F.H., S.L. and Z.R.S. (methods), F.K., A.R., N.S. and M.H. (discussion), S.A.M. (results compilation), A.Y. (manuscript writing), and F.K. (title page). Preparation and compilation of supplementary material: F.H., M.S.A., S.A.M., S.S. Project coordination and supervision: F.H., D.W., S.F. Critical revision and overall editing of the manuscript: F.H., D.W., S.F. All authors reviewed and approved the final version of the manuscript and agree to be accountable for all aspects of the work.</w:t>
      </w:r>
    </w:p>
    <w:p w14:paraId="779B8582" w14:textId="77777777" w:rsidR="002C1C89" w:rsidRPr="00A8664F" w:rsidRDefault="00110E0D" w:rsidP="00065F60">
      <w:pPr>
        <w:spacing w:before="240" w:after="0" w:line="276" w:lineRule="auto"/>
        <w:jc w:val="both"/>
        <w:rPr>
          <w:rFonts w:asciiTheme="majorBidi" w:eastAsia="Times New Roman" w:hAnsiTheme="majorBidi" w:cstheme="majorBidi"/>
          <w:b/>
          <w:bCs/>
          <w:sz w:val="24"/>
          <w:szCs w:val="24"/>
        </w:rPr>
      </w:pPr>
      <w:r w:rsidRPr="00A8664F">
        <w:rPr>
          <w:rFonts w:asciiTheme="majorBidi" w:eastAsia="Times New Roman" w:hAnsiTheme="majorBidi" w:cstheme="majorBidi"/>
          <w:b/>
          <w:bCs/>
          <w:sz w:val="24"/>
          <w:szCs w:val="24"/>
        </w:rPr>
        <w:t>REFERENCES:</w:t>
      </w:r>
    </w:p>
    <w:p w14:paraId="245DD1E7" w14:textId="77777777" w:rsidR="002C1C89" w:rsidRPr="00A8664F" w:rsidRDefault="00110E0D" w:rsidP="00065F60">
      <w:pPr>
        <w:pBdr>
          <w:top w:val="nil"/>
          <w:left w:val="nil"/>
          <w:bottom w:val="nil"/>
          <w:right w:val="nil"/>
          <w:between w:val="nil"/>
        </w:pBdr>
        <w:spacing w:after="0" w:line="276" w:lineRule="auto"/>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(1) </w:t>
      </w:r>
      <w:proofErr w:type="spellStart"/>
      <w:r w:rsidRPr="00A8664F">
        <w:rPr>
          <w:rFonts w:asciiTheme="majorBidi" w:eastAsia="Times New Roman" w:hAnsiTheme="majorBidi" w:cstheme="majorBidi"/>
          <w:color w:val="000000"/>
          <w:sz w:val="24"/>
          <w:szCs w:val="24"/>
        </w:rPr>
        <w:t>Groarke</w:t>
      </w:r>
      <w:proofErr w:type="spellEnd"/>
      <w:r w:rsidRPr="00A8664F">
        <w:rPr>
          <w:rFonts w:asciiTheme="majorBidi" w:eastAsia="Times New Roman" w:hAnsiTheme="majorBidi" w:cstheme="majorBidi"/>
          <w:color w:val="000000"/>
          <w:sz w:val="24"/>
          <w:szCs w:val="24"/>
        </w:rPr>
        <w:t xml:space="preserve"> JD, </w:t>
      </w:r>
      <w:proofErr w:type="spellStart"/>
      <w:r w:rsidRPr="00A8664F">
        <w:rPr>
          <w:rFonts w:asciiTheme="majorBidi" w:eastAsia="Times New Roman" w:hAnsiTheme="majorBidi" w:cstheme="majorBidi"/>
          <w:color w:val="000000"/>
          <w:sz w:val="24"/>
          <w:szCs w:val="24"/>
        </w:rPr>
        <w:t>Nohria</w:t>
      </w:r>
      <w:proofErr w:type="spellEnd"/>
      <w:r w:rsidRPr="00A8664F">
        <w:rPr>
          <w:rFonts w:asciiTheme="majorBidi" w:eastAsia="Times New Roman" w:hAnsiTheme="majorBidi" w:cstheme="majorBidi"/>
          <w:color w:val="000000"/>
          <w:sz w:val="24"/>
          <w:szCs w:val="24"/>
        </w:rPr>
        <w:t xml:space="preserve"> A.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 cardiotoxicity: a new paradigm for an old classic. Circulation. 2015;131:1946–1949</w:t>
      </w:r>
    </w:p>
    <w:p w14:paraId="3E4A4031"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(2) </w:t>
      </w:r>
      <w:proofErr w:type="spellStart"/>
      <w:r w:rsidRPr="00A8664F">
        <w:rPr>
          <w:rFonts w:asciiTheme="majorBidi" w:eastAsia="Times New Roman" w:hAnsiTheme="majorBidi" w:cstheme="majorBidi"/>
          <w:sz w:val="24"/>
          <w:szCs w:val="24"/>
        </w:rPr>
        <w:t>Cardinale</w:t>
      </w:r>
      <w:proofErr w:type="spellEnd"/>
      <w:r w:rsidRPr="00A8664F">
        <w:rPr>
          <w:rFonts w:asciiTheme="majorBidi" w:eastAsia="Times New Roman" w:hAnsiTheme="majorBidi" w:cstheme="majorBidi"/>
          <w:sz w:val="24"/>
          <w:szCs w:val="24"/>
        </w:rPr>
        <w:t xml:space="preserve"> D, </w:t>
      </w:r>
      <w:proofErr w:type="spellStart"/>
      <w:r w:rsidRPr="00A8664F">
        <w:rPr>
          <w:rFonts w:asciiTheme="majorBidi" w:eastAsia="Times New Roman" w:hAnsiTheme="majorBidi" w:cstheme="majorBidi"/>
          <w:sz w:val="24"/>
          <w:szCs w:val="24"/>
        </w:rPr>
        <w:t>Iacopo</w:t>
      </w:r>
      <w:proofErr w:type="spellEnd"/>
      <w:r w:rsidRPr="00A8664F">
        <w:rPr>
          <w:rFonts w:asciiTheme="majorBidi" w:eastAsia="Times New Roman" w:hAnsiTheme="majorBidi" w:cstheme="majorBidi"/>
          <w:sz w:val="24"/>
          <w:szCs w:val="24"/>
        </w:rPr>
        <w:t xml:space="preserve"> F, </w:t>
      </w:r>
      <w:proofErr w:type="spellStart"/>
      <w:r w:rsidRPr="00A8664F">
        <w:rPr>
          <w:rFonts w:asciiTheme="majorBidi" w:eastAsia="Times New Roman" w:hAnsiTheme="majorBidi" w:cstheme="majorBidi"/>
          <w:sz w:val="24"/>
          <w:szCs w:val="24"/>
        </w:rPr>
        <w:t>Cipolla</w:t>
      </w:r>
      <w:proofErr w:type="spellEnd"/>
      <w:r w:rsidRPr="00A8664F">
        <w:rPr>
          <w:rFonts w:asciiTheme="majorBidi" w:eastAsia="Times New Roman" w:hAnsiTheme="majorBidi" w:cstheme="majorBidi"/>
          <w:sz w:val="24"/>
          <w:szCs w:val="24"/>
        </w:rPr>
        <w:t xml:space="preserve"> CM. Cardiotoxicity of </w:t>
      </w:r>
      <w:proofErr w:type="spellStart"/>
      <w:r w:rsidRPr="00A8664F">
        <w:rPr>
          <w:rFonts w:asciiTheme="majorBidi" w:eastAsia="Times New Roman" w:hAnsiTheme="majorBidi" w:cstheme="majorBidi"/>
          <w:sz w:val="24"/>
          <w:szCs w:val="24"/>
        </w:rPr>
        <w:t>Anthracyclines</w:t>
      </w:r>
      <w:proofErr w:type="spellEnd"/>
      <w:r w:rsidRPr="00A8664F">
        <w:rPr>
          <w:rFonts w:asciiTheme="majorBidi" w:eastAsia="Times New Roman" w:hAnsiTheme="majorBidi" w:cstheme="majorBidi"/>
          <w:sz w:val="24"/>
          <w:szCs w:val="24"/>
        </w:rPr>
        <w:t xml:space="preserve">. Front </w:t>
      </w:r>
      <w:proofErr w:type="spellStart"/>
      <w:r w:rsidRPr="00A8664F">
        <w:rPr>
          <w:rFonts w:asciiTheme="majorBidi" w:eastAsia="Times New Roman" w:hAnsiTheme="majorBidi" w:cstheme="majorBidi"/>
          <w:sz w:val="24"/>
          <w:szCs w:val="24"/>
        </w:rPr>
        <w:t>Cardiovasc</w:t>
      </w:r>
      <w:proofErr w:type="spellEnd"/>
      <w:r w:rsidRPr="00A8664F">
        <w:rPr>
          <w:rFonts w:asciiTheme="majorBidi" w:eastAsia="Times New Roman" w:hAnsiTheme="majorBidi" w:cstheme="majorBidi"/>
          <w:sz w:val="24"/>
          <w:szCs w:val="24"/>
        </w:rPr>
        <w:t xml:space="preserve"> Med. 2020 Mar 18;7:26.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10.3389/fcvm.2020.00026. PMID: 32258060; PMCID: PMC7093379</w:t>
      </w:r>
    </w:p>
    <w:p w14:paraId="418D7742"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(3) Zhang S, Liu X, </w:t>
      </w:r>
      <w:proofErr w:type="spellStart"/>
      <w:r w:rsidRPr="00A8664F">
        <w:rPr>
          <w:rFonts w:asciiTheme="majorBidi" w:eastAsia="Times New Roman" w:hAnsiTheme="majorBidi" w:cstheme="majorBidi"/>
          <w:sz w:val="24"/>
          <w:szCs w:val="24"/>
        </w:rPr>
        <w:t>Bawa-Khalfe</w:t>
      </w:r>
      <w:proofErr w:type="spellEnd"/>
      <w:r w:rsidRPr="00A8664F">
        <w:rPr>
          <w:rFonts w:asciiTheme="majorBidi" w:eastAsia="Times New Roman" w:hAnsiTheme="majorBidi" w:cstheme="majorBidi"/>
          <w:sz w:val="24"/>
          <w:szCs w:val="24"/>
        </w:rPr>
        <w:t xml:space="preserve"> T, Lu LS, </w:t>
      </w:r>
      <w:proofErr w:type="spellStart"/>
      <w:r w:rsidRPr="00A8664F">
        <w:rPr>
          <w:rFonts w:asciiTheme="majorBidi" w:eastAsia="Times New Roman" w:hAnsiTheme="majorBidi" w:cstheme="majorBidi"/>
          <w:sz w:val="24"/>
          <w:szCs w:val="24"/>
        </w:rPr>
        <w:t>Lyu</w:t>
      </w:r>
      <w:proofErr w:type="spellEnd"/>
      <w:r w:rsidRPr="00A8664F">
        <w:rPr>
          <w:rFonts w:asciiTheme="majorBidi" w:eastAsia="Times New Roman" w:hAnsiTheme="majorBidi" w:cstheme="majorBidi"/>
          <w:sz w:val="24"/>
          <w:szCs w:val="24"/>
        </w:rPr>
        <w:t xml:space="preserve"> YL, Liu LF, </w:t>
      </w:r>
      <w:proofErr w:type="spellStart"/>
      <w:r w:rsidRPr="00A8664F">
        <w:rPr>
          <w:rFonts w:asciiTheme="majorBidi" w:eastAsia="Times New Roman" w:hAnsiTheme="majorBidi" w:cstheme="majorBidi"/>
          <w:sz w:val="24"/>
          <w:szCs w:val="24"/>
        </w:rPr>
        <w:t>Yeh</w:t>
      </w:r>
      <w:proofErr w:type="spellEnd"/>
      <w:r w:rsidRPr="00A8664F">
        <w:rPr>
          <w:rFonts w:asciiTheme="majorBidi" w:eastAsia="Times New Roman" w:hAnsiTheme="majorBidi" w:cstheme="majorBidi"/>
          <w:sz w:val="24"/>
          <w:szCs w:val="24"/>
        </w:rPr>
        <w:t xml:space="preserve"> ET. Identification of the molecular basis of doxorubicin-induced cardiotoxicity. Nat Med. 2012 Nov;18(11):1639-42.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xml:space="preserve">: 10.1038/nm.2919. </w:t>
      </w:r>
      <w:proofErr w:type="spellStart"/>
      <w:r w:rsidRPr="00A8664F">
        <w:rPr>
          <w:rFonts w:asciiTheme="majorBidi" w:eastAsia="Times New Roman" w:hAnsiTheme="majorBidi" w:cstheme="majorBidi"/>
          <w:sz w:val="24"/>
          <w:szCs w:val="24"/>
        </w:rPr>
        <w:t>Epub</w:t>
      </w:r>
      <w:proofErr w:type="spellEnd"/>
      <w:r w:rsidRPr="00A8664F">
        <w:rPr>
          <w:rFonts w:asciiTheme="majorBidi" w:eastAsia="Times New Roman" w:hAnsiTheme="majorBidi" w:cstheme="majorBidi"/>
          <w:sz w:val="24"/>
          <w:szCs w:val="24"/>
        </w:rPr>
        <w:t xml:space="preserve"> 2012 Oct 28. PMID: 23104132.</w:t>
      </w:r>
    </w:p>
    <w:p w14:paraId="6B25088C"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(4) </w:t>
      </w:r>
      <w:proofErr w:type="spellStart"/>
      <w:r w:rsidRPr="00A8664F">
        <w:rPr>
          <w:rFonts w:asciiTheme="majorBidi" w:eastAsia="Times New Roman" w:hAnsiTheme="majorBidi" w:cstheme="majorBidi"/>
          <w:sz w:val="24"/>
          <w:szCs w:val="24"/>
        </w:rPr>
        <w:t>Doroshow</w:t>
      </w:r>
      <w:proofErr w:type="spellEnd"/>
      <w:r w:rsidRPr="00A8664F">
        <w:rPr>
          <w:rFonts w:asciiTheme="majorBidi" w:eastAsia="Times New Roman" w:hAnsiTheme="majorBidi" w:cstheme="majorBidi"/>
          <w:sz w:val="24"/>
          <w:szCs w:val="24"/>
        </w:rPr>
        <w:t xml:space="preserve"> JH, Locker GY, Myers CE. Enzymatic defenses of the mouse heart against reactive oxygen metabolites: alterations produced by doxorubicin. J </w:t>
      </w:r>
      <w:proofErr w:type="spellStart"/>
      <w:r w:rsidRPr="00A8664F">
        <w:rPr>
          <w:rFonts w:asciiTheme="majorBidi" w:eastAsia="Times New Roman" w:hAnsiTheme="majorBidi" w:cstheme="majorBidi"/>
          <w:sz w:val="24"/>
          <w:szCs w:val="24"/>
        </w:rPr>
        <w:t>Clin</w:t>
      </w:r>
      <w:proofErr w:type="spellEnd"/>
      <w:r w:rsidRPr="00A8664F">
        <w:rPr>
          <w:rFonts w:asciiTheme="majorBidi" w:eastAsia="Times New Roman" w:hAnsiTheme="majorBidi" w:cstheme="majorBidi"/>
          <w:sz w:val="24"/>
          <w:szCs w:val="24"/>
        </w:rPr>
        <w:t xml:space="preserve"> Invest. 1980 Jan;65(1):128-35.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10.1172/JCI109642. PMID: 7350193; PMCID: PMC371347.</w:t>
      </w:r>
    </w:p>
    <w:p w14:paraId="06C5E071"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(5) </w:t>
      </w:r>
      <w:proofErr w:type="spellStart"/>
      <w:r w:rsidRPr="00A8664F">
        <w:rPr>
          <w:rFonts w:asciiTheme="majorBidi" w:eastAsia="Times New Roman" w:hAnsiTheme="majorBidi" w:cstheme="majorBidi"/>
          <w:sz w:val="24"/>
          <w:szCs w:val="24"/>
        </w:rPr>
        <w:t>Todorova</w:t>
      </w:r>
      <w:proofErr w:type="spellEnd"/>
      <w:r w:rsidRPr="00A8664F">
        <w:rPr>
          <w:rFonts w:asciiTheme="majorBidi" w:eastAsia="Times New Roman" w:hAnsiTheme="majorBidi" w:cstheme="majorBidi"/>
          <w:sz w:val="24"/>
          <w:szCs w:val="24"/>
        </w:rPr>
        <w:t xml:space="preserve"> VK, </w:t>
      </w:r>
      <w:proofErr w:type="spellStart"/>
      <w:r w:rsidRPr="00A8664F">
        <w:rPr>
          <w:rFonts w:asciiTheme="majorBidi" w:eastAsia="Times New Roman" w:hAnsiTheme="majorBidi" w:cstheme="majorBidi"/>
          <w:sz w:val="24"/>
          <w:szCs w:val="24"/>
        </w:rPr>
        <w:t>Makhoul</w:t>
      </w:r>
      <w:proofErr w:type="spellEnd"/>
      <w:r w:rsidRPr="00A8664F">
        <w:rPr>
          <w:rFonts w:asciiTheme="majorBidi" w:eastAsia="Times New Roman" w:hAnsiTheme="majorBidi" w:cstheme="majorBidi"/>
          <w:sz w:val="24"/>
          <w:szCs w:val="24"/>
        </w:rPr>
        <w:t xml:space="preserve"> I, </w:t>
      </w:r>
      <w:proofErr w:type="spellStart"/>
      <w:r w:rsidRPr="00A8664F">
        <w:rPr>
          <w:rFonts w:asciiTheme="majorBidi" w:eastAsia="Times New Roman" w:hAnsiTheme="majorBidi" w:cstheme="majorBidi"/>
          <w:sz w:val="24"/>
          <w:szCs w:val="24"/>
        </w:rPr>
        <w:t>Dhakal</w:t>
      </w:r>
      <w:proofErr w:type="spellEnd"/>
      <w:r w:rsidRPr="00A8664F">
        <w:rPr>
          <w:rFonts w:asciiTheme="majorBidi" w:eastAsia="Times New Roman" w:hAnsiTheme="majorBidi" w:cstheme="majorBidi"/>
          <w:sz w:val="24"/>
          <w:szCs w:val="24"/>
        </w:rPr>
        <w:t xml:space="preserve"> I, et al. Polymorphic variations </w:t>
      </w:r>
      <w:proofErr w:type="spellStart"/>
      <w:r w:rsidRPr="00A8664F">
        <w:rPr>
          <w:rFonts w:asciiTheme="majorBidi" w:eastAsia="Times New Roman" w:hAnsiTheme="majorBidi" w:cstheme="majorBidi"/>
          <w:sz w:val="24"/>
          <w:szCs w:val="24"/>
        </w:rPr>
        <w:t>associ</w:t>
      </w:r>
      <w:proofErr w:type="spellEnd"/>
      <w:r w:rsidRPr="00A8664F">
        <w:rPr>
          <w:rFonts w:asciiTheme="majorBidi" w:eastAsia="Times New Roman" w:hAnsiTheme="majorBidi" w:cstheme="majorBidi"/>
          <w:sz w:val="24"/>
          <w:szCs w:val="24"/>
        </w:rPr>
        <w:t xml:space="preserve">- </w:t>
      </w:r>
      <w:proofErr w:type="spellStart"/>
      <w:r w:rsidRPr="00A8664F">
        <w:rPr>
          <w:rFonts w:asciiTheme="majorBidi" w:eastAsia="Times New Roman" w:hAnsiTheme="majorBidi" w:cstheme="majorBidi"/>
          <w:sz w:val="24"/>
          <w:szCs w:val="24"/>
        </w:rPr>
        <w:t>ated</w:t>
      </w:r>
      <w:proofErr w:type="spellEnd"/>
      <w:r w:rsidRPr="00A8664F">
        <w:rPr>
          <w:rFonts w:asciiTheme="majorBidi" w:eastAsia="Times New Roman" w:hAnsiTheme="majorBidi" w:cstheme="majorBidi"/>
          <w:sz w:val="24"/>
          <w:szCs w:val="24"/>
        </w:rPr>
        <w:t xml:space="preserve"> with doxorubicin-induced cardiotoxicity in breast cancer patients. </w:t>
      </w:r>
      <w:proofErr w:type="spellStart"/>
      <w:r w:rsidRPr="00A8664F">
        <w:rPr>
          <w:rFonts w:asciiTheme="majorBidi" w:eastAsia="Times New Roman" w:hAnsiTheme="majorBidi" w:cstheme="majorBidi"/>
          <w:sz w:val="24"/>
          <w:szCs w:val="24"/>
        </w:rPr>
        <w:t>Oncol</w:t>
      </w:r>
      <w:proofErr w:type="spellEnd"/>
      <w:r w:rsidRPr="00A8664F">
        <w:rPr>
          <w:rFonts w:asciiTheme="majorBidi" w:eastAsia="Times New Roman" w:hAnsiTheme="majorBidi" w:cstheme="majorBidi"/>
          <w:sz w:val="24"/>
          <w:szCs w:val="24"/>
        </w:rPr>
        <w:t xml:space="preserve"> Res. 2017;25:1223–1229) </w:t>
      </w:r>
    </w:p>
    <w:p w14:paraId="70401302"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(6) Weiss R.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a novel beta-blocker with nitric oxide-induced vasodilatation. </w:t>
      </w:r>
      <w:proofErr w:type="spellStart"/>
      <w:r w:rsidRPr="00A8664F">
        <w:rPr>
          <w:rFonts w:asciiTheme="majorBidi" w:eastAsia="Times New Roman" w:hAnsiTheme="majorBidi" w:cstheme="majorBidi"/>
          <w:sz w:val="24"/>
          <w:szCs w:val="24"/>
        </w:rPr>
        <w:t>Vasc</w:t>
      </w:r>
      <w:proofErr w:type="spellEnd"/>
      <w:r w:rsidRPr="00A8664F">
        <w:rPr>
          <w:rFonts w:asciiTheme="majorBidi" w:eastAsia="Times New Roman" w:hAnsiTheme="majorBidi" w:cstheme="majorBidi"/>
          <w:sz w:val="24"/>
          <w:szCs w:val="24"/>
        </w:rPr>
        <w:t xml:space="preserve"> Health Risk </w:t>
      </w:r>
      <w:proofErr w:type="spellStart"/>
      <w:r w:rsidRPr="00A8664F">
        <w:rPr>
          <w:rFonts w:asciiTheme="majorBidi" w:eastAsia="Times New Roman" w:hAnsiTheme="majorBidi" w:cstheme="majorBidi"/>
          <w:sz w:val="24"/>
          <w:szCs w:val="24"/>
        </w:rPr>
        <w:t>Manag</w:t>
      </w:r>
      <w:proofErr w:type="spellEnd"/>
      <w:r w:rsidRPr="00A8664F">
        <w:rPr>
          <w:rFonts w:asciiTheme="majorBidi" w:eastAsia="Times New Roman" w:hAnsiTheme="majorBidi" w:cstheme="majorBidi"/>
          <w:sz w:val="24"/>
          <w:szCs w:val="24"/>
        </w:rPr>
        <w:t>. 2006;2:303–308</w:t>
      </w:r>
    </w:p>
    <w:p w14:paraId="65262A43"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(7) </w:t>
      </w:r>
      <w:proofErr w:type="spellStart"/>
      <w:r w:rsidRPr="00A8664F">
        <w:rPr>
          <w:rFonts w:asciiTheme="majorBidi" w:eastAsia="Times New Roman" w:hAnsiTheme="majorBidi" w:cstheme="majorBidi"/>
          <w:sz w:val="24"/>
          <w:szCs w:val="24"/>
        </w:rPr>
        <w:t>Ignarro</w:t>
      </w:r>
      <w:proofErr w:type="spellEnd"/>
      <w:r w:rsidRPr="00A8664F">
        <w:rPr>
          <w:rFonts w:asciiTheme="majorBidi" w:eastAsia="Times New Roman" w:hAnsiTheme="majorBidi" w:cstheme="majorBidi"/>
          <w:sz w:val="24"/>
          <w:szCs w:val="24"/>
        </w:rPr>
        <w:t xml:space="preserve"> LJ, </w:t>
      </w:r>
      <w:proofErr w:type="spellStart"/>
      <w:r w:rsidRPr="00A8664F">
        <w:rPr>
          <w:rFonts w:asciiTheme="majorBidi" w:eastAsia="Times New Roman" w:hAnsiTheme="majorBidi" w:cstheme="majorBidi"/>
          <w:sz w:val="24"/>
          <w:szCs w:val="24"/>
        </w:rPr>
        <w:t>Cirino</w:t>
      </w:r>
      <w:proofErr w:type="spellEnd"/>
      <w:r w:rsidRPr="00A8664F">
        <w:rPr>
          <w:rFonts w:asciiTheme="majorBidi" w:eastAsia="Times New Roman" w:hAnsiTheme="majorBidi" w:cstheme="majorBidi"/>
          <w:sz w:val="24"/>
          <w:szCs w:val="24"/>
        </w:rPr>
        <w:t xml:space="preserve"> G, </w:t>
      </w:r>
      <w:proofErr w:type="spellStart"/>
      <w:r w:rsidRPr="00A8664F">
        <w:rPr>
          <w:rFonts w:asciiTheme="majorBidi" w:eastAsia="Times New Roman" w:hAnsiTheme="majorBidi" w:cstheme="majorBidi"/>
          <w:sz w:val="24"/>
          <w:szCs w:val="24"/>
        </w:rPr>
        <w:t>Casini</w:t>
      </w:r>
      <w:proofErr w:type="spellEnd"/>
      <w:r w:rsidRPr="00A8664F">
        <w:rPr>
          <w:rFonts w:asciiTheme="majorBidi" w:eastAsia="Times New Roman" w:hAnsiTheme="majorBidi" w:cstheme="majorBidi"/>
          <w:sz w:val="24"/>
          <w:szCs w:val="24"/>
        </w:rPr>
        <w:t xml:space="preserve"> A, Napoli C. Nitric oxide as a signaling molecule in the vascular system: an overview. J </w:t>
      </w:r>
      <w:proofErr w:type="spellStart"/>
      <w:r w:rsidRPr="00A8664F">
        <w:rPr>
          <w:rFonts w:asciiTheme="majorBidi" w:eastAsia="Times New Roman" w:hAnsiTheme="majorBidi" w:cstheme="majorBidi"/>
          <w:sz w:val="24"/>
          <w:szCs w:val="24"/>
        </w:rPr>
        <w:t>Cardiovasc</w:t>
      </w:r>
      <w:proofErr w:type="spellEnd"/>
      <w:r w:rsidRPr="00A8664F">
        <w:rPr>
          <w:rFonts w:asciiTheme="majorBidi" w:eastAsia="Times New Roman" w:hAnsiTheme="majorBidi" w:cstheme="majorBidi"/>
          <w:sz w:val="24"/>
          <w:szCs w:val="24"/>
        </w:rPr>
        <w:t xml:space="preserve"> </w:t>
      </w:r>
      <w:proofErr w:type="spellStart"/>
      <w:r w:rsidRPr="00A8664F">
        <w:rPr>
          <w:rFonts w:asciiTheme="majorBidi" w:eastAsia="Times New Roman" w:hAnsiTheme="majorBidi" w:cstheme="majorBidi"/>
          <w:sz w:val="24"/>
          <w:szCs w:val="24"/>
        </w:rPr>
        <w:t>Pharmacol</w:t>
      </w:r>
      <w:proofErr w:type="spellEnd"/>
      <w:r w:rsidRPr="00A8664F">
        <w:rPr>
          <w:rFonts w:asciiTheme="majorBidi" w:eastAsia="Times New Roman" w:hAnsiTheme="majorBidi" w:cstheme="majorBidi"/>
          <w:sz w:val="24"/>
          <w:szCs w:val="24"/>
        </w:rPr>
        <w:t xml:space="preserve">. 1999 Dec;34(6):879-86.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10.1097/00005344-199912000-00016. PMID: 10598133.</w:t>
      </w:r>
    </w:p>
    <w:p w14:paraId="043033F8"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(8) </w:t>
      </w:r>
      <w:proofErr w:type="spellStart"/>
      <w:r w:rsidRPr="00A8664F">
        <w:rPr>
          <w:rFonts w:asciiTheme="majorBidi" w:eastAsia="Times New Roman" w:hAnsiTheme="majorBidi" w:cstheme="majorBidi"/>
          <w:sz w:val="24"/>
          <w:szCs w:val="24"/>
        </w:rPr>
        <w:t>Toblli</w:t>
      </w:r>
      <w:proofErr w:type="spellEnd"/>
      <w:r w:rsidRPr="00A8664F">
        <w:rPr>
          <w:rFonts w:asciiTheme="majorBidi" w:eastAsia="Times New Roman" w:hAnsiTheme="majorBidi" w:cstheme="majorBidi"/>
          <w:sz w:val="24"/>
          <w:szCs w:val="24"/>
        </w:rPr>
        <w:t xml:space="preserve"> JE, </w:t>
      </w:r>
      <w:proofErr w:type="spellStart"/>
      <w:r w:rsidRPr="00A8664F">
        <w:rPr>
          <w:rFonts w:asciiTheme="majorBidi" w:eastAsia="Times New Roman" w:hAnsiTheme="majorBidi" w:cstheme="majorBidi"/>
          <w:sz w:val="24"/>
          <w:szCs w:val="24"/>
        </w:rPr>
        <w:t>DiGennaro</w:t>
      </w:r>
      <w:proofErr w:type="spellEnd"/>
      <w:r w:rsidRPr="00A8664F">
        <w:rPr>
          <w:rFonts w:asciiTheme="majorBidi" w:eastAsia="Times New Roman" w:hAnsiTheme="majorBidi" w:cstheme="majorBidi"/>
          <w:sz w:val="24"/>
          <w:szCs w:val="24"/>
        </w:rPr>
        <w:t xml:space="preserve"> F, </w:t>
      </w:r>
      <w:proofErr w:type="spellStart"/>
      <w:r w:rsidRPr="00A8664F">
        <w:rPr>
          <w:rFonts w:asciiTheme="majorBidi" w:eastAsia="Times New Roman" w:hAnsiTheme="majorBidi" w:cstheme="majorBidi"/>
          <w:sz w:val="24"/>
          <w:szCs w:val="24"/>
        </w:rPr>
        <w:t>Giani</w:t>
      </w:r>
      <w:proofErr w:type="spellEnd"/>
      <w:r w:rsidRPr="00A8664F">
        <w:rPr>
          <w:rFonts w:asciiTheme="majorBidi" w:eastAsia="Times New Roman" w:hAnsiTheme="majorBidi" w:cstheme="majorBidi"/>
          <w:sz w:val="24"/>
          <w:szCs w:val="24"/>
        </w:rPr>
        <w:t xml:space="preserve"> JF, </w:t>
      </w:r>
      <w:proofErr w:type="spellStart"/>
      <w:r w:rsidRPr="00A8664F">
        <w:rPr>
          <w:rFonts w:asciiTheme="majorBidi" w:eastAsia="Times New Roman" w:hAnsiTheme="majorBidi" w:cstheme="majorBidi"/>
          <w:sz w:val="24"/>
          <w:szCs w:val="24"/>
        </w:rPr>
        <w:t>Dominici</w:t>
      </w:r>
      <w:proofErr w:type="spellEnd"/>
      <w:r w:rsidRPr="00A8664F">
        <w:rPr>
          <w:rFonts w:asciiTheme="majorBidi" w:eastAsia="Times New Roman" w:hAnsiTheme="majorBidi" w:cstheme="majorBidi"/>
          <w:sz w:val="24"/>
          <w:szCs w:val="24"/>
        </w:rPr>
        <w:t xml:space="preserve"> FP. </w:t>
      </w:r>
      <w:proofErr w:type="spellStart"/>
      <w:r w:rsidRPr="00A8664F">
        <w:rPr>
          <w:rFonts w:asciiTheme="majorBidi" w:eastAsia="Times New Roman" w:hAnsiTheme="majorBidi" w:cstheme="majorBidi"/>
          <w:sz w:val="24"/>
          <w:szCs w:val="24"/>
        </w:rPr>
        <w:t>Nebivolol</w:t>
      </w:r>
      <w:proofErr w:type="spellEnd"/>
      <w:r w:rsidRPr="00A8664F">
        <w:rPr>
          <w:rFonts w:asciiTheme="majorBidi" w:eastAsia="Times New Roman" w:hAnsiTheme="majorBidi" w:cstheme="majorBidi"/>
          <w:sz w:val="24"/>
          <w:szCs w:val="24"/>
        </w:rPr>
        <w:t xml:space="preserve">: impact on cardiac and endothelial function and clinical utility. </w:t>
      </w:r>
      <w:proofErr w:type="spellStart"/>
      <w:r w:rsidRPr="00A8664F">
        <w:rPr>
          <w:rFonts w:asciiTheme="majorBidi" w:eastAsia="Times New Roman" w:hAnsiTheme="majorBidi" w:cstheme="majorBidi"/>
          <w:sz w:val="24"/>
          <w:szCs w:val="24"/>
        </w:rPr>
        <w:t>Vasc</w:t>
      </w:r>
      <w:proofErr w:type="spellEnd"/>
      <w:r w:rsidRPr="00A8664F">
        <w:rPr>
          <w:rFonts w:asciiTheme="majorBidi" w:eastAsia="Times New Roman" w:hAnsiTheme="majorBidi" w:cstheme="majorBidi"/>
          <w:sz w:val="24"/>
          <w:szCs w:val="24"/>
        </w:rPr>
        <w:t xml:space="preserve"> Health Risk </w:t>
      </w:r>
      <w:proofErr w:type="spellStart"/>
      <w:r w:rsidRPr="00A8664F">
        <w:rPr>
          <w:rFonts w:asciiTheme="majorBidi" w:eastAsia="Times New Roman" w:hAnsiTheme="majorBidi" w:cstheme="majorBidi"/>
          <w:sz w:val="24"/>
          <w:szCs w:val="24"/>
        </w:rPr>
        <w:t>Manag</w:t>
      </w:r>
      <w:proofErr w:type="spellEnd"/>
      <w:r w:rsidRPr="00A8664F">
        <w:rPr>
          <w:rFonts w:asciiTheme="majorBidi" w:eastAsia="Times New Roman" w:hAnsiTheme="majorBidi" w:cstheme="majorBidi"/>
          <w:sz w:val="24"/>
          <w:szCs w:val="24"/>
        </w:rPr>
        <w:t xml:space="preserve">. 2012;8:151-60.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xml:space="preserve">: 10.2147/VHRM.S20669. </w:t>
      </w:r>
      <w:proofErr w:type="spellStart"/>
      <w:r w:rsidRPr="00A8664F">
        <w:rPr>
          <w:rFonts w:asciiTheme="majorBidi" w:eastAsia="Times New Roman" w:hAnsiTheme="majorBidi" w:cstheme="majorBidi"/>
          <w:sz w:val="24"/>
          <w:szCs w:val="24"/>
        </w:rPr>
        <w:t>Epub</w:t>
      </w:r>
      <w:proofErr w:type="spellEnd"/>
      <w:r w:rsidRPr="00A8664F">
        <w:rPr>
          <w:rFonts w:asciiTheme="majorBidi" w:eastAsia="Times New Roman" w:hAnsiTheme="majorBidi" w:cstheme="majorBidi"/>
          <w:sz w:val="24"/>
          <w:szCs w:val="24"/>
        </w:rPr>
        <w:t xml:space="preserve"> 2012 Mar 13. PMID: 22454559; PMCID: PMC3310359.</w:t>
      </w:r>
    </w:p>
    <w:p w14:paraId="48466C96"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(9) Gulati, G., Heck, S. L., </w:t>
      </w:r>
      <w:proofErr w:type="spellStart"/>
      <w:r w:rsidRPr="00A8664F">
        <w:rPr>
          <w:rFonts w:asciiTheme="majorBidi" w:eastAsia="Times New Roman" w:hAnsiTheme="majorBidi" w:cstheme="majorBidi"/>
          <w:sz w:val="24"/>
          <w:szCs w:val="24"/>
        </w:rPr>
        <w:t>Ree</w:t>
      </w:r>
      <w:proofErr w:type="spellEnd"/>
      <w:r w:rsidRPr="00A8664F">
        <w:rPr>
          <w:rFonts w:asciiTheme="majorBidi" w:eastAsia="Times New Roman" w:hAnsiTheme="majorBidi" w:cstheme="majorBidi"/>
          <w:sz w:val="24"/>
          <w:szCs w:val="24"/>
        </w:rPr>
        <w:t>, A. H., Hoffmann, P., Schulz-</w:t>
      </w:r>
      <w:proofErr w:type="spellStart"/>
      <w:r w:rsidRPr="00A8664F">
        <w:rPr>
          <w:rFonts w:asciiTheme="majorBidi" w:eastAsia="Times New Roman" w:hAnsiTheme="majorBidi" w:cstheme="majorBidi"/>
          <w:sz w:val="24"/>
          <w:szCs w:val="24"/>
        </w:rPr>
        <w:t>Menger</w:t>
      </w:r>
      <w:proofErr w:type="spellEnd"/>
      <w:r w:rsidRPr="00A8664F">
        <w:rPr>
          <w:rFonts w:asciiTheme="majorBidi" w:eastAsia="Times New Roman" w:hAnsiTheme="majorBidi" w:cstheme="majorBidi"/>
          <w:sz w:val="24"/>
          <w:szCs w:val="24"/>
        </w:rPr>
        <w:t xml:space="preserve">, J., </w:t>
      </w:r>
      <w:proofErr w:type="spellStart"/>
      <w:r w:rsidRPr="00A8664F">
        <w:rPr>
          <w:rFonts w:asciiTheme="majorBidi" w:eastAsia="Times New Roman" w:hAnsiTheme="majorBidi" w:cstheme="majorBidi"/>
          <w:sz w:val="24"/>
          <w:szCs w:val="24"/>
        </w:rPr>
        <w:t>Fagerland</w:t>
      </w:r>
      <w:proofErr w:type="spellEnd"/>
      <w:r w:rsidRPr="00A8664F">
        <w:rPr>
          <w:rFonts w:asciiTheme="majorBidi" w:eastAsia="Times New Roman" w:hAnsiTheme="majorBidi" w:cstheme="majorBidi"/>
          <w:sz w:val="24"/>
          <w:szCs w:val="24"/>
        </w:rPr>
        <w:t xml:space="preserve">, M. W., </w:t>
      </w:r>
      <w:proofErr w:type="spellStart"/>
      <w:r w:rsidRPr="00A8664F">
        <w:rPr>
          <w:rFonts w:asciiTheme="majorBidi" w:eastAsia="Times New Roman" w:hAnsiTheme="majorBidi" w:cstheme="majorBidi"/>
          <w:sz w:val="24"/>
          <w:szCs w:val="24"/>
        </w:rPr>
        <w:t>Gravdehaug</w:t>
      </w:r>
      <w:proofErr w:type="spellEnd"/>
      <w:r w:rsidRPr="00A8664F">
        <w:rPr>
          <w:rFonts w:asciiTheme="majorBidi" w:eastAsia="Times New Roman" w:hAnsiTheme="majorBidi" w:cstheme="majorBidi"/>
          <w:sz w:val="24"/>
          <w:szCs w:val="24"/>
        </w:rPr>
        <w:t xml:space="preserve">, B., von </w:t>
      </w:r>
      <w:proofErr w:type="spellStart"/>
      <w:r w:rsidRPr="00A8664F">
        <w:rPr>
          <w:rFonts w:asciiTheme="majorBidi" w:eastAsia="Times New Roman" w:hAnsiTheme="majorBidi" w:cstheme="majorBidi"/>
          <w:sz w:val="24"/>
          <w:szCs w:val="24"/>
        </w:rPr>
        <w:t>Knobelsdorff-Brenkenhoff</w:t>
      </w:r>
      <w:proofErr w:type="spellEnd"/>
      <w:r w:rsidRPr="00A8664F">
        <w:rPr>
          <w:rFonts w:asciiTheme="majorBidi" w:eastAsia="Times New Roman" w:hAnsiTheme="majorBidi" w:cstheme="majorBidi"/>
          <w:sz w:val="24"/>
          <w:szCs w:val="24"/>
        </w:rPr>
        <w:t xml:space="preserve">, F., </w:t>
      </w:r>
      <w:proofErr w:type="spellStart"/>
      <w:r w:rsidRPr="00A8664F">
        <w:rPr>
          <w:rFonts w:asciiTheme="majorBidi" w:eastAsia="Times New Roman" w:hAnsiTheme="majorBidi" w:cstheme="majorBidi"/>
          <w:sz w:val="24"/>
          <w:szCs w:val="24"/>
        </w:rPr>
        <w:t>Bratland</w:t>
      </w:r>
      <w:proofErr w:type="spellEnd"/>
      <w:r w:rsidRPr="00A8664F">
        <w:rPr>
          <w:rFonts w:asciiTheme="majorBidi" w:eastAsia="Times New Roman" w:hAnsiTheme="majorBidi" w:cstheme="majorBidi"/>
          <w:sz w:val="24"/>
          <w:szCs w:val="24"/>
        </w:rPr>
        <w:t xml:space="preserve">, Å., </w:t>
      </w:r>
      <w:proofErr w:type="spellStart"/>
      <w:r w:rsidRPr="00A8664F">
        <w:rPr>
          <w:rFonts w:asciiTheme="majorBidi" w:eastAsia="Times New Roman" w:hAnsiTheme="majorBidi" w:cstheme="majorBidi"/>
          <w:sz w:val="24"/>
          <w:szCs w:val="24"/>
        </w:rPr>
        <w:t>Storås</w:t>
      </w:r>
      <w:proofErr w:type="spellEnd"/>
      <w:r w:rsidRPr="00A8664F">
        <w:rPr>
          <w:rFonts w:asciiTheme="majorBidi" w:eastAsia="Times New Roman" w:hAnsiTheme="majorBidi" w:cstheme="majorBidi"/>
          <w:sz w:val="24"/>
          <w:szCs w:val="24"/>
        </w:rPr>
        <w:t xml:space="preserve">, T. H., </w:t>
      </w:r>
      <w:proofErr w:type="spellStart"/>
      <w:r w:rsidRPr="00A8664F">
        <w:rPr>
          <w:rFonts w:asciiTheme="majorBidi" w:eastAsia="Times New Roman" w:hAnsiTheme="majorBidi" w:cstheme="majorBidi"/>
          <w:sz w:val="24"/>
          <w:szCs w:val="24"/>
        </w:rPr>
        <w:t>Hagve</w:t>
      </w:r>
      <w:proofErr w:type="spellEnd"/>
      <w:r w:rsidRPr="00A8664F">
        <w:rPr>
          <w:rFonts w:asciiTheme="majorBidi" w:eastAsia="Times New Roman" w:hAnsiTheme="majorBidi" w:cstheme="majorBidi"/>
          <w:sz w:val="24"/>
          <w:szCs w:val="24"/>
        </w:rPr>
        <w:t xml:space="preserve">, T.-A., </w:t>
      </w:r>
      <w:proofErr w:type="spellStart"/>
      <w:r w:rsidRPr="00A8664F">
        <w:rPr>
          <w:rFonts w:asciiTheme="majorBidi" w:eastAsia="Times New Roman" w:hAnsiTheme="majorBidi" w:cstheme="majorBidi"/>
          <w:sz w:val="24"/>
          <w:szCs w:val="24"/>
        </w:rPr>
        <w:t>Røsjø</w:t>
      </w:r>
      <w:proofErr w:type="spellEnd"/>
      <w:r w:rsidRPr="00A8664F">
        <w:rPr>
          <w:rFonts w:asciiTheme="majorBidi" w:eastAsia="Times New Roman" w:hAnsiTheme="majorBidi" w:cstheme="majorBidi"/>
          <w:sz w:val="24"/>
          <w:szCs w:val="24"/>
        </w:rPr>
        <w:t xml:space="preserve">, H., </w:t>
      </w:r>
      <w:proofErr w:type="spellStart"/>
      <w:r w:rsidRPr="00A8664F">
        <w:rPr>
          <w:rFonts w:asciiTheme="majorBidi" w:eastAsia="Times New Roman" w:hAnsiTheme="majorBidi" w:cstheme="majorBidi"/>
          <w:sz w:val="24"/>
          <w:szCs w:val="24"/>
        </w:rPr>
        <w:t>Steine</w:t>
      </w:r>
      <w:proofErr w:type="spellEnd"/>
      <w:r w:rsidRPr="00A8664F">
        <w:rPr>
          <w:rFonts w:asciiTheme="majorBidi" w:eastAsia="Times New Roman" w:hAnsiTheme="majorBidi" w:cstheme="majorBidi"/>
          <w:sz w:val="24"/>
          <w:szCs w:val="24"/>
        </w:rPr>
        <w:t xml:space="preserve">, K., Geisler, J., &amp; </w:t>
      </w:r>
      <w:proofErr w:type="spellStart"/>
      <w:r w:rsidRPr="00A8664F">
        <w:rPr>
          <w:rFonts w:asciiTheme="majorBidi" w:eastAsia="Times New Roman" w:hAnsiTheme="majorBidi" w:cstheme="majorBidi"/>
          <w:sz w:val="24"/>
          <w:szCs w:val="24"/>
        </w:rPr>
        <w:t>Omland</w:t>
      </w:r>
      <w:proofErr w:type="spellEnd"/>
      <w:r w:rsidRPr="00A8664F">
        <w:rPr>
          <w:rFonts w:asciiTheme="majorBidi" w:eastAsia="Times New Roman" w:hAnsiTheme="majorBidi" w:cstheme="majorBidi"/>
          <w:sz w:val="24"/>
          <w:szCs w:val="24"/>
        </w:rPr>
        <w:t xml:space="preserve">, T. (2016). Prevention of cardiac dysfunction during adjuvant breast cancer therapy (PRADA): a 2 × 2 factorial, randomized, placebo-controlled, double-blind clinical trial of candesartan and </w:t>
      </w:r>
      <w:proofErr w:type="spellStart"/>
      <w:r w:rsidRPr="00A8664F">
        <w:rPr>
          <w:rFonts w:asciiTheme="majorBidi" w:eastAsia="Times New Roman" w:hAnsiTheme="majorBidi" w:cstheme="majorBidi"/>
          <w:sz w:val="24"/>
          <w:szCs w:val="24"/>
        </w:rPr>
        <w:t>metoprolol</w:t>
      </w:r>
      <w:proofErr w:type="spellEnd"/>
      <w:r w:rsidRPr="00A8664F">
        <w:rPr>
          <w:rFonts w:asciiTheme="majorBidi" w:eastAsia="Times New Roman" w:hAnsiTheme="majorBidi" w:cstheme="majorBidi"/>
          <w:sz w:val="24"/>
          <w:szCs w:val="24"/>
        </w:rPr>
        <w:t xml:space="preserve">. European Heart Journal, 37(21), 1671–1680. </w:t>
      </w:r>
    </w:p>
    <w:p w14:paraId="50C098DF"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(10) </w:t>
      </w:r>
      <w:proofErr w:type="spellStart"/>
      <w:r w:rsidRPr="00A8664F">
        <w:rPr>
          <w:rFonts w:asciiTheme="majorBidi" w:eastAsia="Times New Roman" w:hAnsiTheme="majorBidi" w:cstheme="majorBidi"/>
          <w:sz w:val="24"/>
          <w:szCs w:val="24"/>
        </w:rPr>
        <w:t>Abuosa</w:t>
      </w:r>
      <w:proofErr w:type="spellEnd"/>
      <w:r w:rsidRPr="00A8664F">
        <w:rPr>
          <w:rFonts w:asciiTheme="majorBidi" w:eastAsia="Times New Roman" w:hAnsiTheme="majorBidi" w:cstheme="majorBidi"/>
          <w:sz w:val="24"/>
          <w:szCs w:val="24"/>
        </w:rPr>
        <w:t xml:space="preserve"> AM, </w:t>
      </w:r>
      <w:proofErr w:type="spellStart"/>
      <w:r w:rsidRPr="00A8664F">
        <w:rPr>
          <w:rFonts w:asciiTheme="majorBidi" w:eastAsia="Times New Roman" w:hAnsiTheme="majorBidi" w:cstheme="majorBidi"/>
          <w:sz w:val="24"/>
          <w:szCs w:val="24"/>
        </w:rPr>
        <w:t>Elshiekh</w:t>
      </w:r>
      <w:proofErr w:type="spellEnd"/>
      <w:r w:rsidRPr="00A8664F">
        <w:rPr>
          <w:rFonts w:asciiTheme="majorBidi" w:eastAsia="Times New Roman" w:hAnsiTheme="majorBidi" w:cstheme="majorBidi"/>
          <w:sz w:val="24"/>
          <w:szCs w:val="24"/>
        </w:rPr>
        <w:t xml:space="preserve"> AH, Qureshi K, et al. Prophylactic use of carvedilol to prevent ventricular dysfunction in patients with cancer treated with doxorubicin. Indian Heart J 2018; 70: S96-S100.</w:t>
      </w:r>
    </w:p>
    <w:p w14:paraId="07B58FD0"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(11) Ma Y, Bai F, Qin F, Li J, Liu N, Li D, Li T, </w:t>
      </w:r>
      <w:proofErr w:type="spellStart"/>
      <w:r w:rsidRPr="00A8664F">
        <w:rPr>
          <w:rFonts w:asciiTheme="majorBidi" w:eastAsia="Times New Roman" w:hAnsiTheme="majorBidi" w:cstheme="majorBidi"/>
          <w:sz w:val="24"/>
          <w:szCs w:val="24"/>
        </w:rPr>
        <w:t>Xie</w:t>
      </w:r>
      <w:proofErr w:type="spellEnd"/>
      <w:r w:rsidRPr="00A8664F">
        <w:rPr>
          <w:rFonts w:asciiTheme="majorBidi" w:eastAsia="Times New Roman" w:hAnsiTheme="majorBidi" w:cstheme="majorBidi"/>
          <w:sz w:val="24"/>
          <w:szCs w:val="24"/>
        </w:rPr>
        <w:t xml:space="preserve"> H, Liu D, Zhou S, Liu Q. Beta-blockers for the primary prevention of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-induced cardiotoxicity: a meta-analysis of randomized controlled trials. BMC </w:t>
      </w:r>
      <w:proofErr w:type="spellStart"/>
      <w:r w:rsidRPr="00A8664F">
        <w:rPr>
          <w:rFonts w:asciiTheme="majorBidi" w:eastAsia="Times New Roman" w:hAnsiTheme="majorBidi" w:cstheme="majorBidi"/>
          <w:sz w:val="24"/>
          <w:szCs w:val="24"/>
        </w:rPr>
        <w:t>Pharmacol</w:t>
      </w:r>
      <w:proofErr w:type="spellEnd"/>
      <w:r w:rsidRPr="00A8664F">
        <w:rPr>
          <w:rFonts w:asciiTheme="majorBidi" w:eastAsia="Times New Roman" w:hAnsiTheme="majorBidi" w:cstheme="majorBidi"/>
          <w:sz w:val="24"/>
          <w:szCs w:val="24"/>
        </w:rPr>
        <w:t xml:space="preserve"> </w:t>
      </w:r>
      <w:proofErr w:type="spellStart"/>
      <w:r w:rsidRPr="00A8664F">
        <w:rPr>
          <w:rFonts w:asciiTheme="majorBidi" w:eastAsia="Times New Roman" w:hAnsiTheme="majorBidi" w:cstheme="majorBidi"/>
          <w:sz w:val="24"/>
          <w:szCs w:val="24"/>
        </w:rPr>
        <w:t>Toxicol</w:t>
      </w:r>
      <w:proofErr w:type="spellEnd"/>
      <w:r w:rsidRPr="00A8664F">
        <w:rPr>
          <w:rFonts w:asciiTheme="majorBidi" w:eastAsia="Times New Roman" w:hAnsiTheme="majorBidi" w:cstheme="majorBidi"/>
          <w:sz w:val="24"/>
          <w:szCs w:val="24"/>
        </w:rPr>
        <w:t xml:space="preserve">. 2019 Apr 25;20(1):18.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10.1186/s40360-019-0298-6. PMID: 31023386; PMCID: PMC6485127.</w:t>
      </w:r>
    </w:p>
    <w:p w14:paraId="5B5AC825"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(12) </w:t>
      </w:r>
      <w:proofErr w:type="spellStart"/>
      <w:r w:rsidRPr="00A8664F">
        <w:rPr>
          <w:rFonts w:asciiTheme="majorBidi" w:eastAsia="Times New Roman" w:hAnsiTheme="majorBidi" w:cstheme="majorBidi"/>
          <w:sz w:val="24"/>
          <w:szCs w:val="24"/>
        </w:rPr>
        <w:t>Caspani</w:t>
      </w:r>
      <w:proofErr w:type="spellEnd"/>
      <w:r w:rsidRPr="00A8664F">
        <w:rPr>
          <w:rFonts w:asciiTheme="majorBidi" w:eastAsia="Times New Roman" w:hAnsiTheme="majorBidi" w:cstheme="majorBidi"/>
          <w:sz w:val="24"/>
          <w:szCs w:val="24"/>
        </w:rPr>
        <w:t xml:space="preserve"> F, </w:t>
      </w:r>
      <w:proofErr w:type="spellStart"/>
      <w:r w:rsidRPr="00A8664F">
        <w:rPr>
          <w:rFonts w:asciiTheme="majorBidi" w:eastAsia="Times New Roman" w:hAnsiTheme="majorBidi" w:cstheme="majorBidi"/>
          <w:sz w:val="24"/>
          <w:szCs w:val="24"/>
        </w:rPr>
        <w:t>Tralongo</w:t>
      </w:r>
      <w:proofErr w:type="spellEnd"/>
      <w:r w:rsidRPr="00A8664F">
        <w:rPr>
          <w:rFonts w:asciiTheme="majorBidi" w:eastAsia="Times New Roman" w:hAnsiTheme="majorBidi" w:cstheme="majorBidi"/>
          <w:sz w:val="24"/>
          <w:szCs w:val="24"/>
        </w:rPr>
        <w:t xml:space="preserve"> AC, </w:t>
      </w:r>
      <w:proofErr w:type="spellStart"/>
      <w:r w:rsidRPr="00A8664F">
        <w:rPr>
          <w:rFonts w:asciiTheme="majorBidi" w:eastAsia="Times New Roman" w:hAnsiTheme="majorBidi" w:cstheme="majorBidi"/>
          <w:sz w:val="24"/>
          <w:szCs w:val="24"/>
        </w:rPr>
        <w:t>Campiotti</w:t>
      </w:r>
      <w:proofErr w:type="spellEnd"/>
      <w:r w:rsidRPr="00A8664F">
        <w:rPr>
          <w:rFonts w:asciiTheme="majorBidi" w:eastAsia="Times New Roman" w:hAnsiTheme="majorBidi" w:cstheme="majorBidi"/>
          <w:sz w:val="24"/>
          <w:szCs w:val="24"/>
        </w:rPr>
        <w:t xml:space="preserve"> L, </w:t>
      </w:r>
      <w:proofErr w:type="spellStart"/>
      <w:r w:rsidRPr="00A8664F">
        <w:rPr>
          <w:rFonts w:asciiTheme="majorBidi" w:eastAsia="Times New Roman" w:hAnsiTheme="majorBidi" w:cstheme="majorBidi"/>
          <w:sz w:val="24"/>
          <w:szCs w:val="24"/>
        </w:rPr>
        <w:t>Asteggiano</w:t>
      </w:r>
      <w:proofErr w:type="spellEnd"/>
      <w:r w:rsidRPr="00A8664F">
        <w:rPr>
          <w:rFonts w:asciiTheme="majorBidi" w:eastAsia="Times New Roman" w:hAnsiTheme="majorBidi" w:cstheme="majorBidi"/>
          <w:sz w:val="24"/>
          <w:szCs w:val="24"/>
        </w:rPr>
        <w:t xml:space="preserve"> R, </w:t>
      </w:r>
      <w:proofErr w:type="spellStart"/>
      <w:r w:rsidRPr="00A8664F">
        <w:rPr>
          <w:rFonts w:asciiTheme="majorBidi" w:eastAsia="Times New Roman" w:hAnsiTheme="majorBidi" w:cstheme="majorBidi"/>
          <w:sz w:val="24"/>
          <w:szCs w:val="24"/>
        </w:rPr>
        <w:t>Guasti</w:t>
      </w:r>
      <w:proofErr w:type="spellEnd"/>
      <w:r w:rsidRPr="00A8664F">
        <w:rPr>
          <w:rFonts w:asciiTheme="majorBidi" w:eastAsia="Times New Roman" w:hAnsiTheme="majorBidi" w:cstheme="majorBidi"/>
          <w:sz w:val="24"/>
          <w:szCs w:val="24"/>
        </w:rPr>
        <w:t xml:space="preserve"> L, </w:t>
      </w:r>
      <w:proofErr w:type="spellStart"/>
      <w:r w:rsidRPr="00A8664F">
        <w:rPr>
          <w:rFonts w:asciiTheme="majorBidi" w:eastAsia="Times New Roman" w:hAnsiTheme="majorBidi" w:cstheme="majorBidi"/>
          <w:sz w:val="24"/>
          <w:szCs w:val="24"/>
        </w:rPr>
        <w:t>Squizzato</w:t>
      </w:r>
      <w:proofErr w:type="spellEnd"/>
      <w:r w:rsidRPr="00A8664F">
        <w:rPr>
          <w:rFonts w:asciiTheme="majorBidi" w:eastAsia="Times New Roman" w:hAnsiTheme="majorBidi" w:cstheme="majorBidi"/>
          <w:sz w:val="24"/>
          <w:szCs w:val="24"/>
        </w:rPr>
        <w:t xml:space="preserve"> A. Prevention of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-induced cardiotoxicity: a systematic review and meta-analysis. Intern </w:t>
      </w:r>
      <w:proofErr w:type="spellStart"/>
      <w:r w:rsidRPr="00A8664F">
        <w:rPr>
          <w:rFonts w:asciiTheme="majorBidi" w:eastAsia="Times New Roman" w:hAnsiTheme="majorBidi" w:cstheme="majorBidi"/>
          <w:sz w:val="24"/>
          <w:szCs w:val="24"/>
        </w:rPr>
        <w:t>Emerg</w:t>
      </w:r>
      <w:proofErr w:type="spellEnd"/>
      <w:r w:rsidRPr="00A8664F">
        <w:rPr>
          <w:rFonts w:asciiTheme="majorBidi" w:eastAsia="Times New Roman" w:hAnsiTheme="majorBidi" w:cstheme="majorBidi"/>
          <w:sz w:val="24"/>
          <w:szCs w:val="24"/>
        </w:rPr>
        <w:t xml:space="preserve"> Med. 2021 Mar;16(2):477-486.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xml:space="preserve">: 10.1007/s11739-020-02508-8. </w:t>
      </w:r>
      <w:proofErr w:type="spellStart"/>
      <w:r w:rsidRPr="00A8664F">
        <w:rPr>
          <w:rFonts w:asciiTheme="majorBidi" w:eastAsia="Times New Roman" w:hAnsiTheme="majorBidi" w:cstheme="majorBidi"/>
          <w:sz w:val="24"/>
          <w:szCs w:val="24"/>
        </w:rPr>
        <w:t>Epub</w:t>
      </w:r>
      <w:proofErr w:type="spellEnd"/>
      <w:r w:rsidRPr="00A8664F">
        <w:rPr>
          <w:rFonts w:asciiTheme="majorBidi" w:eastAsia="Times New Roman" w:hAnsiTheme="majorBidi" w:cstheme="majorBidi"/>
          <w:sz w:val="24"/>
          <w:szCs w:val="24"/>
        </w:rPr>
        <w:t xml:space="preserve"> 2020 Oct 3. PMID: 33011930.</w:t>
      </w:r>
    </w:p>
    <w:p w14:paraId="44BD2C60" w14:textId="77777777"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(13) Li S, Li W, Cheng M, Wang X, Chen W. Prevention and treatment of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-induced cardiotoxicity: a systematic review and network meta-analysis of randomized controlled trials. </w:t>
      </w:r>
      <w:proofErr w:type="spellStart"/>
      <w:r w:rsidRPr="00A8664F">
        <w:rPr>
          <w:rFonts w:asciiTheme="majorBidi" w:eastAsia="Times New Roman" w:hAnsiTheme="majorBidi" w:cstheme="majorBidi"/>
          <w:sz w:val="24"/>
          <w:szCs w:val="24"/>
        </w:rPr>
        <w:t>Cardiooncology</w:t>
      </w:r>
      <w:proofErr w:type="spellEnd"/>
      <w:r w:rsidRPr="00A8664F">
        <w:rPr>
          <w:rFonts w:asciiTheme="majorBidi" w:eastAsia="Times New Roman" w:hAnsiTheme="majorBidi" w:cstheme="majorBidi"/>
          <w:sz w:val="24"/>
          <w:szCs w:val="24"/>
        </w:rPr>
        <w:t xml:space="preserve">. 2025 Jul 10;11(1):66.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10.1186/s40959-025-00360-3. PMID: 40640889; PMCID: PMC12243438.</w:t>
      </w:r>
    </w:p>
    <w:p w14:paraId="02DB76B5" w14:textId="7FC408F9" w:rsidR="002C1C89" w:rsidRPr="00A8664F" w:rsidRDefault="00110E0D" w:rsidP="00065F60">
      <w:pPr>
        <w:spacing w:before="240" w:after="0" w:line="276" w:lineRule="auto"/>
        <w:jc w:val="both"/>
        <w:rPr>
          <w:rFonts w:asciiTheme="majorBidi" w:eastAsia="Times New Roman" w:hAnsiTheme="majorBidi" w:cstheme="majorBidi"/>
          <w:sz w:val="24"/>
          <w:szCs w:val="24"/>
        </w:rPr>
      </w:pPr>
      <w:r w:rsidRPr="00A8664F">
        <w:rPr>
          <w:rFonts w:asciiTheme="majorBidi" w:eastAsia="Times New Roman" w:hAnsiTheme="majorBidi" w:cstheme="majorBidi"/>
          <w:sz w:val="24"/>
          <w:szCs w:val="24"/>
        </w:rPr>
        <w:t xml:space="preserve">(14) Liu X, Ding R, Zhang A. Pharmacological interventions to prevent cardiotoxicity in patients undergoing </w:t>
      </w:r>
      <w:proofErr w:type="spellStart"/>
      <w:r w:rsidRPr="00A8664F">
        <w:rPr>
          <w:rFonts w:asciiTheme="majorBidi" w:eastAsia="Times New Roman" w:hAnsiTheme="majorBidi" w:cstheme="majorBidi"/>
          <w:sz w:val="24"/>
          <w:szCs w:val="24"/>
        </w:rPr>
        <w:t>anthracycline</w:t>
      </w:r>
      <w:proofErr w:type="spellEnd"/>
      <w:r w:rsidRPr="00A8664F">
        <w:rPr>
          <w:rFonts w:asciiTheme="majorBidi" w:eastAsia="Times New Roman" w:hAnsiTheme="majorBidi" w:cstheme="majorBidi"/>
          <w:sz w:val="24"/>
          <w:szCs w:val="24"/>
        </w:rPr>
        <w:t xml:space="preserve">-based chemotherapy: a network meta-analysis. Front </w:t>
      </w:r>
      <w:proofErr w:type="spellStart"/>
      <w:r w:rsidRPr="00A8664F">
        <w:rPr>
          <w:rFonts w:asciiTheme="majorBidi" w:eastAsia="Times New Roman" w:hAnsiTheme="majorBidi" w:cstheme="majorBidi"/>
          <w:sz w:val="24"/>
          <w:szCs w:val="24"/>
        </w:rPr>
        <w:t>Cardiovasc</w:t>
      </w:r>
      <w:proofErr w:type="spellEnd"/>
      <w:r w:rsidRPr="00A8664F">
        <w:rPr>
          <w:rFonts w:asciiTheme="majorBidi" w:eastAsia="Times New Roman" w:hAnsiTheme="majorBidi" w:cstheme="majorBidi"/>
          <w:sz w:val="24"/>
          <w:szCs w:val="24"/>
        </w:rPr>
        <w:t xml:space="preserve"> Med. 2025 Sep 3;12:1612060. </w:t>
      </w:r>
      <w:proofErr w:type="spellStart"/>
      <w:r w:rsidRPr="00A8664F">
        <w:rPr>
          <w:rFonts w:asciiTheme="majorBidi" w:eastAsia="Times New Roman" w:hAnsiTheme="majorBidi" w:cstheme="majorBidi"/>
          <w:sz w:val="24"/>
          <w:szCs w:val="24"/>
        </w:rPr>
        <w:t>doi</w:t>
      </w:r>
      <w:proofErr w:type="spellEnd"/>
      <w:r w:rsidRPr="00A8664F">
        <w:rPr>
          <w:rFonts w:asciiTheme="majorBidi" w:eastAsia="Times New Roman" w:hAnsiTheme="majorBidi" w:cstheme="majorBidi"/>
          <w:sz w:val="24"/>
          <w:szCs w:val="24"/>
        </w:rPr>
        <w:t>: 10.3389/fcvm.2025.1612060. PMID: 40970189; PMCID: PMC12442320.</w:t>
      </w:r>
    </w:p>
    <w:p w14:paraId="3865BE45" w14:textId="77777777" w:rsidR="002C1C89" w:rsidRPr="00A8664F" w:rsidRDefault="002C1C89" w:rsidP="00065F60">
      <w:pPr>
        <w:spacing w:after="0" w:line="276" w:lineRule="auto"/>
        <w:jc w:val="both"/>
        <w:rPr>
          <w:rFonts w:asciiTheme="majorBidi" w:eastAsia="Times New Roman" w:hAnsiTheme="majorBidi" w:cstheme="majorBidi"/>
          <w:color w:val="000000"/>
          <w:sz w:val="24"/>
          <w:szCs w:val="24"/>
        </w:rPr>
      </w:pPr>
    </w:p>
    <w:p w14:paraId="0C6637B3" w14:textId="5CF562E1" w:rsidR="002E10B3" w:rsidRPr="00A8664F" w:rsidRDefault="002E10B3"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(15) </w:t>
      </w:r>
      <w:proofErr w:type="spellStart"/>
      <w:r w:rsidRPr="00A8664F">
        <w:rPr>
          <w:rFonts w:asciiTheme="majorBidi" w:eastAsia="Times New Roman" w:hAnsiTheme="majorBidi" w:cstheme="majorBidi"/>
          <w:color w:val="000000"/>
          <w:sz w:val="24"/>
          <w:szCs w:val="24"/>
        </w:rPr>
        <w:t>Cochera</w:t>
      </w:r>
      <w:proofErr w:type="spellEnd"/>
      <w:r w:rsidRPr="00A8664F">
        <w:rPr>
          <w:rFonts w:asciiTheme="majorBidi" w:eastAsia="Times New Roman" w:hAnsiTheme="majorBidi" w:cstheme="majorBidi"/>
          <w:color w:val="000000"/>
          <w:sz w:val="24"/>
          <w:szCs w:val="24"/>
        </w:rPr>
        <w:t xml:space="preserve"> F, </w:t>
      </w:r>
      <w:proofErr w:type="spellStart"/>
      <w:r w:rsidRPr="00A8664F">
        <w:rPr>
          <w:rFonts w:asciiTheme="majorBidi" w:eastAsia="Times New Roman" w:hAnsiTheme="majorBidi" w:cstheme="majorBidi"/>
          <w:color w:val="000000"/>
          <w:sz w:val="24"/>
          <w:szCs w:val="24"/>
        </w:rPr>
        <w:t>Dinca</w:t>
      </w:r>
      <w:proofErr w:type="spellEnd"/>
      <w:r w:rsidRPr="00A8664F">
        <w:rPr>
          <w:rFonts w:asciiTheme="majorBidi" w:eastAsia="Times New Roman" w:hAnsiTheme="majorBidi" w:cstheme="majorBidi"/>
          <w:color w:val="000000"/>
          <w:sz w:val="24"/>
          <w:szCs w:val="24"/>
        </w:rPr>
        <w:t xml:space="preserve"> D, </w:t>
      </w:r>
      <w:proofErr w:type="spellStart"/>
      <w:r w:rsidRPr="00A8664F">
        <w:rPr>
          <w:rFonts w:asciiTheme="majorBidi" w:eastAsia="Times New Roman" w:hAnsiTheme="majorBidi" w:cstheme="majorBidi"/>
          <w:color w:val="000000"/>
          <w:sz w:val="24"/>
          <w:szCs w:val="24"/>
        </w:rPr>
        <w:t>Bordejevic</w:t>
      </w:r>
      <w:proofErr w:type="spellEnd"/>
      <w:r w:rsidRPr="00A8664F">
        <w:rPr>
          <w:rFonts w:asciiTheme="majorBidi" w:eastAsia="Times New Roman" w:hAnsiTheme="majorBidi" w:cstheme="majorBidi"/>
          <w:color w:val="000000"/>
          <w:sz w:val="24"/>
          <w:szCs w:val="24"/>
        </w:rPr>
        <w:t xml:space="preserve"> DA, </w:t>
      </w:r>
      <w:proofErr w:type="spellStart"/>
      <w:r w:rsidRPr="00A8664F">
        <w:rPr>
          <w:rFonts w:asciiTheme="majorBidi" w:eastAsia="Times New Roman" w:hAnsiTheme="majorBidi" w:cstheme="majorBidi"/>
          <w:color w:val="000000"/>
          <w:sz w:val="24"/>
          <w:szCs w:val="24"/>
        </w:rPr>
        <w:t>Citu</w:t>
      </w:r>
      <w:proofErr w:type="spellEnd"/>
      <w:r w:rsidRPr="00A8664F">
        <w:rPr>
          <w:rFonts w:asciiTheme="majorBidi" w:eastAsia="Times New Roman" w:hAnsiTheme="majorBidi" w:cstheme="majorBidi"/>
          <w:color w:val="000000"/>
          <w:sz w:val="24"/>
          <w:szCs w:val="24"/>
        </w:rPr>
        <w:t xml:space="preserve"> IM, </w:t>
      </w:r>
      <w:proofErr w:type="spellStart"/>
      <w:r w:rsidRPr="00A8664F">
        <w:rPr>
          <w:rFonts w:asciiTheme="majorBidi" w:eastAsia="Times New Roman" w:hAnsiTheme="majorBidi" w:cstheme="majorBidi"/>
          <w:color w:val="000000"/>
          <w:sz w:val="24"/>
          <w:szCs w:val="24"/>
        </w:rPr>
        <w:t>Mavrea</w:t>
      </w:r>
      <w:proofErr w:type="spellEnd"/>
      <w:r w:rsidRPr="00A8664F">
        <w:rPr>
          <w:rFonts w:asciiTheme="majorBidi" w:eastAsia="Times New Roman" w:hAnsiTheme="majorBidi" w:cstheme="majorBidi"/>
          <w:color w:val="000000"/>
          <w:sz w:val="24"/>
          <w:szCs w:val="24"/>
        </w:rPr>
        <w:t xml:space="preserve"> AM, </w:t>
      </w:r>
      <w:proofErr w:type="spellStart"/>
      <w:r w:rsidRPr="00A8664F">
        <w:rPr>
          <w:rFonts w:asciiTheme="majorBidi" w:eastAsia="Times New Roman" w:hAnsiTheme="majorBidi" w:cstheme="majorBidi"/>
          <w:color w:val="000000"/>
          <w:sz w:val="24"/>
          <w:szCs w:val="24"/>
        </w:rPr>
        <w:t>Andor</w:t>
      </w:r>
      <w:proofErr w:type="spellEnd"/>
      <w:r w:rsidRPr="00A8664F">
        <w:rPr>
          <w:rFonts w:asciiTheme="majorBidi" w:eastAsia="Times New Roman" w:hAnsiTheme="majorBidi" w:cstheme="majorBidi"/>
          <w:color w:val="000000"/>
          <w:sz w:val="24"/>
          <w:szCs w:val="24"/>
        </w:rPr>
        <w:t xml:space="preserve"> M, </w:t>
      </w:r>
      <w:proofErr w:type="spellStart"/>
      <w:r w:rsidRPr="00A8664F">
        <w:rPr>
          <w:rFonts w:asciiTheme="majorBidi" w:eastAsia="Times New Roman" w:hAnsiTheme="majorBidi" w:cstheme="majorBidi"/>
          <w:color w:val="000000"/>
          <w:sz w:val="24"/>
          <w:szCs w:val="24"/>
        </w:rPr>
        <w:t>Trofenciuc</w:t>
      </w:r>
      <w:proofErr w:type="spellEnd"/>
      <w:r w:rsidRPr="00A8664F">
        <w:rPr>
          <w:rFonts w:asciiTheme="majorBidi" w:eastAsia="Times New Roman" w:hAnsiTheme="majorBidi" w:cstheme="majorBidi"/>
          <w:color w:val="000000"/>
          <w:sz w:val="24"/>
          <w:szCs w:val="24"/>
        </w:rPr>
        <w:t xml:space="preserve"> M, </w:t>
      </w:r>
      <w:proofErr w:type="spellStart"/>
      <w:r w:rsidRPr="00A8664F">
        <w:rPr>
          <w:rFonts w:asciiTheme="majorBidi" w:eastAsia="Times New Roman" w:hAnsiTheme="majorBidi" w:cstheme="majorBidi"/>
          <w:color w:val="000000"/>
          <w:sz w:val="24"/>
          <w:szCs w:val="24"/>
        </w:rPr>
        <w:t>Tomescu</w:t>
      </w:r>
      <w:proofErr w:type="spellEnd"/>
      <w:r w:rsidRPr="00A8664F">
        <w:rPr>
          <w:rFonts w:asciiTheme="majorBidi" w:eastAsia="Times New Roman" w:hAnsiTheme="majorBidi" w:cstheme="majorBidi"/>
          <w:color w:val="000000"/>
          <w:sz w:val="24"/>
          <w:szCs w:val="24"/>
        </w:rPr>
        <w:t xml:space="preserve"> MC.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effect on doxorubicin-induced cardiotoxicity in breast cancer. </w:t>
      </w:r>
      <w:r w:rsidRPr="00A8664F">
        <w:rPr>
          <w:rFonts w:asciiTheme="majorBidi" w:eastAsia="Times New Roman" w:hAnsiTheme="majorBidi" w:cstheme="majorBidi"/>
          <w:i/>
          <w:iCs/>
          <w:color w:val="000000"/>
          <w:sz w:val="24"/>
          <w:szCs w:val="24"/>
        </w:rPr>
        <w:t xml:space="preserve">Cancer </w:t>
      </w:r>
      <w:proofErr w:type="spellStart"/>
      <w:r w:rsidRPr="00A8664F">
        <w:rPr>
          <w:rFonts w:asciiTheme="majorBidi" w:eastAsia="Times New Roman" w:hAnsiTheme="majorBidi" w:cstheme="majorBidi"/>
          <w:i/>
          <w:iCs/>
          <w:color w:val="000000"/>
          <w:sz w:val="24"/>
          <w:szCs w:val="24"/>
        </w:rPr>
        <w:t>Manag</w:t>
      </w:r>
      <w:proofErr w:type="spellEnd"/>
      <w:r w:rsidRPr="00A8664F">
        <w:rPr>
          <w:rFonts w:asciiTheme="majorBidi" w:eastAsia="Times New Roman" w:hAnsiTheme="majorBidi" w:cstheme="majorBidi"/>
          <w:i/>
          <w:iCs/>
          <w:color w:val="000000"/>
          <w:sz w:val="24"/>
          <w:szCs w:val="24"/>
        </w:rPr>
        <w:t xml:space="preserve"> Res.</w:t>
      </w:r>
      <w:r w:rsidRPr="00A8664F">
        <w:rPr>
          <w:rFonts w:asciiTheme="majorBidi" w:eastAsia="Times New Roman" w:hAnsiTheme="majorBidi" w:cstheme="majorBidi"/>
          <w:color w:val="000000"/>
          <w:sz w:val="24"/>
          <w:szCs w:val="24"/>
        </w:rPr>
        <w:t xml:space="preserve"> 2018;10:2071–2081. doi:10.2147/CMAR.S166481.</w:t>
      </w:r>
    </w:p>
    <w:p w14:paraId="0D44D494" w14:textId="77777777" w:rsidR="002E10B3" w:rsidRPr="00A8664F" w:rsidRDefault="002E10B3" w:rsidP="00065F60">
      <w:pPr>
        <w:spacing w:after="0" w:line="276" w:lineRule="auto"/>
        <w:jc w:val="both"/>
        <w:rPr>
          <w:rFonts w:asciiTheme="majorBidi" w:eastAsia="Times New Roman" w:hAnsiTheme="majorBidi" w:cstheme="majorBidi"/>
          <w:color w:val="000000"/>
          <w:sz w:val="24"/>
          <w:szCs w:val="24"/>
        </w:rPr>
      </w:pPr>
    </w:p>
    <w:p w14:paraId="0C8B03A1" w14:textId="2A6C2137" w:rsidR="002E10B3" w:rsidRPr="00A8664F" w:rsidRDefault="002E10B3" w:rsidP="00065F60">
      <w:pPr>
        <w:spacing w:after="0" w:line="276" w:lineRule="auto"/>
        <w:jc w:val="both"/>
        <w:rPr>
          <w:rFonts w:asciiTheme="majorBidi" w:eastAsia="Times New Roman" w:hAnsiTheme="majorBidi" w:cstheme="majorBidi"/>
          <w:color w:val="000000"/>
          <w:sz w:val="24"/>
          <w:szCs w:val="24"/>
        </w:rPr>
      </w:pPr>
      <w:r w:rsidRPr="00A8664F">
        <w:rPr>
          <w:rFonts w:asciiTheme="majorBidi" w:eastAsia="Times New Roman" w:hAnsiTheme="majorBidi" w:cstheme="majorBidi"/>
          <w:color w:val="000000"/>
          <w:sz w:val="24"/>
          <w:szCs w:val="24"/>
        </w:rPr>
        <w:t xml:space="preserve">(16) Kaya MG, </w:t>
      </w:r>
      <w:proofErr w:type="spellStart"/>
      <w:r w:rsidRPr="00A8664F">
        <w:rPr>
          <w:rFonts w:asciiTheme="majorBidi" w:eastAsia="Times New Roman" w:hAnsiTheme="majorBidi" w:cstheme="majorBidi"/>
          <w:color w:val="000000"/>
          <w:sz w:val="24"/>
          <w:szCs w:val="24"/>
        </w:rPr>
        <w:t>Ozkan</w:t>
      </w:r>
      <w:proofErr w:type="spellEnd"/>
      <w:r w:rsidRPr="00A8664F">
        <w:rPr>
          <w:rFonts w:asciiTheme="majorBidi" w:eastAsia="Times New Roman" w:hAnsiTheme="majorBidi" w:cstheme="majorBidi"/>
          <w:color w:val="000000"/>
          <w:sz w:val="24"/>
          <w:szCs w:val="24"/>
        </w:rPr>
        <w:t xml:space="preserve"> M, </w:t>
      </w:r>
      <w:proofErr w:type="spellStart"/>
      <w:r w:rsidRPr="00A8664F">
        <w:rPr>
          <w:rFonts w:asciiTheme="majorBidi" w:eastAsia="Times New Roman" w:hAnsiTheme="majorBidi" w:cstheme="majorBidi"/>
          <w:color w:val="000000"/>
          <w:sz w:val="24"/>
          <w:szCs w:val="24"/>
        </w:rPr>
        <w:t>Gunebakmaz</w:t>
      </w:r>
      <w:proofErr w:type="spellEnd"/>
      <w:r w:rsidRPr="00A8664F">
        <w:rPr>
          <w:rFonts w:asciiTheme="majorBidi" w:eastAsia="Times New Roman" w:hAnsiTheme="majorBidi" w:cstheme="majorBidi"/>
          <w:color w:val="000000"/>
          <w:sz w:val="24"/>
          <w:szCs w:val="24"/>
        </w:rPr>
        <w:t xml:space="preserve"> O, </w:t>
      </w:r>
      <w:proofErr w:type="spellStart"/>
      <w:r w:rsidRPr="00A8664F">
        <w:rPr>
          <w:rFonts w:asciiTheme="majorBidi" w:eastAsia="Times New Roman" w:hAnsiTheme="majorBidi" w:cstheme="majorBidi"/>
          <w:color w:val="000000"/>
          <w:sz w:val="24"/>
          <w:szCs w:val="24"/>
        </w:rPr>
        <w:t>Akkaya</w:t>
      </w:r>
      <w:proofErr w:type="spellEnd"/>
      <w:r w:rsidRPr="00A8664F">
        <w:rPr>
          <w:rFonts w:asciiTheme="majorBidi" w:eastAsia="Times New Roman" w:hAnsiTheme="majorBidi" w:cstheme="majorBidi"/>
          <w:color w:val="000000"/>
          <w:sz w:val="24"/>
          <w:szCs w:val="24"/>
        </w:rPr>
        <w:t xml:space="preserve"> H, Kaya EG, </w:t>
      </w:r>
      <w:proofErr w:type="spellStart"/>
      <w:r w:rsidRPr="00A8664F">
        <w:rPr>
          <w:rFonts w:asciiTheme="majorBidi" w:eastAsia="Times New Roman" w:hAnsiTheme="majorBidi" w:cstheme="majorBidi"/>
          <w:color w:val="000000"/>
          <w:sz w:val="24"/>
          <w:szCs w:val="24"/>
        </w:rPr>
        <w:t>Akpek</w:t>
      </w:r>
      <w:proofErr w:type="spellEnd"/>
      <w:r w:rsidRPr="00A8664F">
        <w:rPr>
          <w:rFonts w:asciiTheme="majorBidi" w:eastAsia="Times New Roman" w:hAnsiTheme="majorBidi" w:cstheme="majorBidi"/>
          <w:color w:val="000000"/>
          <w:sz w:val="24"/>
          <w:szCs w:val="24"/>
        </w:rPr>
        <w:t xml:space="preserve"> M, </w:t>
      </w:r>
      <w:proofErr w:type="spellStart"/>
      <w:r w:rsidRPr="00A8664F">
        <w:rPr>
          <w:rFonts w:asciiTheme="majorBidi" w:eastAsia="Times New Roman" w:hAnsiTheme="majorBidi" w:cstheme="majorBidi"/>
          <w:color w:val="000000"/>
          <w:sz w:val="24"/>
          <w:szCs w:val="24"/>
        </w:rPr>
        <w:t>Kalay</w:t>
      </w:r>
      <w:proofErr w:type="spellEnd"/>
      <w:r w:rsidRPr="00A8664F">
        <w:rPr>
          <w:rFonts w:asciiTheme="majorBidi" w:eastAsia="Times New Roman" w:hAnsiTheme="majorBidi" w:cstheme="majorBidi"/>
          <w:color w:val="000000"/>
          <w:sz w:val="24"/>
          <w:szCs w:val="24"/>
        </w:rPr>
        <w:t xml:space="preserve"> N, </w:t>
      </w:r>
      <w:proofErr w:type="spellStart"/>
      <w:r w:rsidRPr="00A8664F">
        <w:rPr>
          <w:rFonts w:asciiTheme="majorBidi" w:eastAsia="Times New Roman" w:hAnsiTheme="majorBidi" w:cstheme="majorBidi"/>
          <w:color w:val="000000"/>
          <w:sz w:val="24"/>
          <w:szCs w:val="24"/>
        </w:rPr>
        <w:t>Dikilitas</w:t>
      </w:r>
      <w:proofErr w:type="spellEnd"/>
      <w:r w:rsidRPr="00A8664F">
        <w:rPr>
          <w:rFonts w:asciiTheme="majorBidi" w:eastAsia="Times New Roman" w:hAnsiTheme="majorBidi" w:cstheme="majorBidi"/>
          <w:color w:val="000000"/>
          <w:sz w:val="24"/>
          <w:szCs w:val="24"/>
        </w:rPr>
        <w:t xml:space="preserve"> M, </w:t>
      </w:r>
      <w:proofErr w:type="spellStart"/>
      <w:r w:rsidRPr="00A8664F">
        <w:rPr>
          <w:rFonts w:asciiTheme="majorBidi" w:eastAsia="Times New Roman" w:hAnsiTheme="majorBidi" w:cstheme="majorBidi"/>
          <w:color w:val="000000"/>
          <w:sz w:val="24"/>
          <w:szCs w:val="24"/>
        </w:rPr>
        <w:t>Yarlioglues</w:t>
      </w:r>
      <w:proofErr w:type="spellEnd"/>
      <w:r w:rsidRPr="00A8664F">
        <w:rPr>
          <w:rFonts w:asciiTheme="majorBidi" w:eastAsia="Times New Roman" w:hAnsiTheme="majorBidi" w:cstheme="majorBidi"/>
          <w:color w:val="000000"/>
          <w:sz w:val="24"/>
          <w:szCs w:val="24"/>
        </w:rPr>
        <w:t xml:space="preserve"> M, </w:t>
      </w:r>
      <w:proofErr w:type="spellStart"/>
      <w:r w:rsidRPr="00A8664F">
        <w:rPr>
          <w:rFonts w:asciiTheme="majorBidi" w:eastAsia="Times New Roman" w:hAnsiTheme="majorBidi" w:cstheme="majorBidi"/>
          <w:color w:val="000000"/>
          <w:sz w:val="24"/>
          <w:szCs w:val="24"/>
        </w:rPr>
        <w:t>Karaca</w:t>
      </w:r>
      <w:proofErr w:type="spellEnd"/>
      <w:r w:rsidRPr="00A8664F">
        <w:rPr>
          <w:rFonts w:asciiTheme="majorBidi" w:eastAsia="Times New Roman" w:hAnsiTheme="majorBidi" w:cstheme="majorBidi"/>
          <w:color w:val="000000"/>
          <w:sz w:val="24"/>
          <w:szCs w:val="24"/>
        </w:rPr>
        <w:t xml:space="preserve"> H, </w:t>
      </w:r>
      <w:proofErr w:type="spellStart"/>
      <w:r w:rsidRPr="00A8664F">
        <w:rPr>
          <w:rFonts w:asciiTheme="majorBidi" w:eastAsia="Times New Roman" w:hAnsiTheme="majorBidi" w:cstheme="majorBidi"/>
          <w:color w:val="000000"/>
          <w:sz w:val="24"/>
          <w:szCs w:val="24"/>
        </w:rPr>
        <w:t>Berk</w:t>
      </w:r>
      <w:proofErr w:type="spellEnd"/>
      <w:r w:rsidRPr="00A8664F">
        <w:rPr>
          <w:rFonts w:asciiTheme="majorBidi" w:eastAsia="Times New Roman" w:hAnsiTheme="majorBidi" w:cstheme="majorBidi"/>
          <w:color w:val="000000"/>
          <w:sz w:val="24"/>
          <w:szCs w:val="24"/>
        </w:rPr>
        <w:t xml:space="preserve"> V, </w:t>
      </w:r>
      <w:proofErr w:type="spellStart"/>
      <w:r w:rsidRPr="00A8664F">
        <w:rPr>
          <w:rFonts w:asciiTheme="majorBidi" w:eastAsia="Times New Roman" w:hAnsiTheme="majorBidi" w:cstheme="majorBidi"/>
          <w:color w:val="000000"/>
          <w:sz w:val="24"/>
          <w:szCs w:val="24"/>
        </w:rPr>
        <w:t>Ardic</w:t>
      </w:r>
      <w:proofErr w:type="spellEnd"/>
      <w:r w:rsidRPr="00A8664F">
        <w:rPr>
          <w:rFonts w:asciiTheme="majorBidi" w:eastAsia="Times New Roman" w:hAnsiTheme="majorBidi" w:cstheme="majorBidi"/>
          <w:color w:val="000000"/>
          <w:sz w:val="24"/>
          <w:szCs w:val="24"/>
        </w:rPr>
        <w:t xml:space="preserve"> I, </w:t>
      </w:r>
      <w:proofErr w:type="spellStart"/>
      <w:r w:rsidRPr="00A8664F">
        <w:rPr>
          <w:rFonts w:asciiTheme="majorBidi" w:eastAsia="Times New Roman" w:hAnsiTheme="majorBidi" w:cstheme="majorBidi"/>
          <w:color w:val="000000"/>
          <w:sz w:val="24"/>
          <w:szCs w:val="24"/>
        </w:rPr>
        <w:t>Ergin</w:t>
      </w:r>
      <w:proofErr w:type="spellEnd"/>
      <w:r w:rsidRPr="00A8664F">
        <w:rPr>
          <w:rFonts w:asciiTheme="majorBidi" w:eastAsia="Times New Roman" w:hAnsiTheme="majorBidi" w:cstheme="majorBidi"/>
          <w:color w:val="000000"/>
          <w:sz w:val="24"/>
          <w:szCs w:val="24"/>
        </w:rPr>
        <w:t xml:space="preserve"> A, Lam YY. Protective effects of </w:t>
      </w:r>
      <w:proofErr w:type="spellStart"/>
      <w:r w:rsidRPr="00A8664F">
        <w:rPr>
          <w:rFonts w:asciiTheme="majorBidi" w:eastAsia="Times New Roman" w:hAnsiTheme="majorBidi" w:cstheme="majorBidi"/>
          <w:color w:val="000000"/>
          <w:sz w:val="24"/>
          <w:szCs w:val="24"/>
        </w:rPr>
        <w:t>nebivolol</w:t>
      </w:r>
      <w:proofErr w:type="spellEnd"/>
      <w:r w:rsidRPr="00A8664F">
        <w:rPr>
          <w:rFonts w:asciiTheme="majorBidi" w:eastAsia="Times New Roman" w:hAnsiTheme="majorBidi" w:cstheme="majorBidi"/>
          <w:color w:val="000000"/>
          <w:sz w:val="24"/>
          <w:szCs w:val="24"/>
        </w:rPr>
        <w:t xml:space="preserve"> against </w:t>
      </w:r>
      <w:proofErr w:type="spellStart"/>
      <w:r w:rsidRPr="00A8664F">
        <w:rPr>
          <w:rFonts w:asciiTheme="majorBidi" w:eastAsia="Times New Roman" w:hAnsiTheme="majorBidi" w:cstheme="majorBidi"/>
          <w:color w:val="000000"/>
          <w:sz w:val="24"/>
          <w:szCs w:val="24"/>
        </w:rPr>
        <w:t>anthracycline</w:t>
      </w:r>
      <w:proofErr w:type="spellEnd"/>
      <w:r w:rsidRPr="00A8664F">
        <w:rPr>
          <w:rFonts w:asciiTheme="majorBidi" w:eastAsia="Times New Roman" w:hAnsiTheme="majorBidi" w:cstheme="majorBidi"/>
          <w:color w:val="000000"/>
          <w:sz w:val="24"/>
          <w:szCs w:val="24"/>
        </w:rPr>
        <w:t xml:space="preserve">-induced cardiomyopathy: a randomized control study. </w:t>
      </w:r>
      <w:proofErr w:type="spellStart"/>
      <w:r w:rsidRPr="00A8664F">
        <w:rPr>
          <w:rFonts w:asciiTheme="majorBidi" w:eastAsia="Times New Roman" w:hAnsiTheme="majorBidi" w:cstheme="majorBidi"/>
          <w:i/>
          <w:iCs/>
          <w:color w:val="000000"/>
          <w:sz w:val="24"/>
          <w:szCs w:val="24"/>
        </w:rPr>
        <w:t>Int</w:t>
      </w:r>
      <w:proofErr w:type="spellEnd"/>
      <w:r w:rsidRPr="00A8664F">
        <w:rPr>
          <w:rFonts w:asciiTheme="majorBidi" w:eastAsia="Times New Roman" w:hAnsiTheme="majorBidi" w:cstheme="majorBidi"/>
          <w:i/>
          <w:iCs/>
          <w:color w:val="000000"/>
          <w:sz w:val="24"/>
          <w:szCs w:val="24"/>
        </w:rPr>
        <w:t xml:space="preserve"> J </w:t>
      </w:r>
      <w:proofErr w:type="spellStart"/>
      <w:r w:rsidRPr="00A8664F">
        <w:rPr>
          <w:rFonts w:asciiTheme="majorBidi" w:eastAsia="Times New Roman" w:hAnsiTheme="majorBidi" w:cstheme="majorBidi"/>
          <w:i/>
          <w:iCs/>
          <w:color w:val="000000"/>
          <w:sz w:val="24"/>
          <w:szCs w:val="24"/>
        </w:rPr>
        <w:t>Cardiol</w:t>
      </w:r>
      <w:proofErr w:type="spellEnd"/>
      <w:r w:rsidRPr="00A8664F">
        <w:rPr>
          <w:rFonts w:asciiTheme="majorBidi" w:eastAsia="Times New Roman" w:hAnsiTheme="majorBidi" w:cstheme="majorBidi"/>
          <w:i/>
          <w:iCs/>
          <w:color w:val="000000"/>
          <w:sz w:val="24"/>
          <w:szCs w:val="24"/>
        </w:rPr>
        <w:t>.</w:t>
      </w:r>
      <w:r w:rsidRPr="00A8664F">
        <w:rPr>
          <w:rFonts w:asciiTheme="majorBidi" w:eastAsia="Times New Roman" w:hAnsiTheme="majorBidi" w:cstheme="majorBidi"/>
          <w:color w:val="000000"/>
          <w:sz w:val="24"/>
          <w:szCs w:val="24"/>
        </w:rPr>
        <w:t xml:space="preserve"> 2013;167:2306–2310. doi:10.1016/j.ijcard.2012.06.023.</w:t>
      </w:r>
    </w:p>
    <w:p w14:paraId="1212EEE0" w14:textId="77777777" w:rsidR="002E10B3" w:rsidRPr="00A8664F" w:rsidRDefault="002E10B3" w:rsidP="00065F60">
      <w:pPr>
        <w:spacing w:after="0" w:line="276" w:lineRule="auto"/>
        <w:jc w:val="both"/>
        <w:rPr>
          <w:rFonts w:asciiTheme="majorBidi" w:eastAsia="Times New Roman" w:hAnsiTheme="majorBidi" w:cstheme="majorBidi"/>
          <w:color w:val="000000"/>
          <w:sz w:val="24"/>
          <w:szCs w:val="24"/>
        </w:rPr>
      </w:pPr>
    </w:p>
    <w:p w14:paraId="7635EA36" w14:textId="16AA9CAE" w:rsidR="002E10B3" w:rsidRPr="00A8664F" w:rsidRDefault="002E10B3" w:rsidP="00065F60">
      <w:pPr>
        <w:spacing w:after="0" w:line="276" w:lineRule="auto"/>
        <w:jc w:val="both"/>
        <w:rPr>
          <w:rFonts w:asciiTheme="majorBidi" w:eastAsia="Times New Roman" w:hAnsiTheme="majorBidi" w:cstheme="majorBidi"/>
          <w:color w:val="000000"/>
          <w:sz w:val="24"/>
          <w:szCs w:val="24"/>
          <w:lang w:val="en-US"/>
        </w:rPr>
      </w:pPr>
      <w:r w:rsidRPr="00A8664F">
        <w:rPr>
          <w:rFonts w:asciiTheme="majorBidi" w:eastAsia="Times New Roman" w:hAnsiTheme="majorBidi" w:cstheme="majorBidi"/>
          <w:color w:val="000000"/>
          <w:sz w:val="24"/>
          <w:szCs w:val="24"/>
        </w:rPr>
        <w:t>(17)</w:t>
      </w:r>
      <w:r w:rsidRPr="00A8664F">
        <w:rPr>
          <w:rFonts w:asciiTheme="majorBidi" w:eastAsia="Times New Roman" w:hAnsiTheme="majorBidi" w:cstheme="majorBidi"/>
          <w:sz w:val="24"/>
          <w:szCs w:val="24"/>
          <w:lang w:val="en-US"/>
        </w:rPr>
        <w:t xml:space="preserve"> </w:t>
      </w:r>
      <w:proofErr w:type="spellStart"/>
      <w:r w:rsidRPr="00A8664F">
        <w:rPr>
          <w:rFonts w:asciiTheme="majorBidi" w:eastAsia="Times New Roman" w:hAnsiTheme="majorBidi" w:cstheme="majorBidi"/>
          <w:color w:val="000000"/>
          <w:sz w:val="24"/>
          <w:szCs w:val="24"/>
          <w:lang w:val="en-US"/>
        </w:rPr>
        <w:t>Rudrapogu</w:t>
      </w:r>
      <w:proofErr w:type="spellEnd"/>
      <w:r w:rsidRPr="00A8664F">
        <w:rPr>
          <w:rFonts w:asciiTheme="majorBidi" w:eastAsia="Times New Roman" w:hAnsiTheme="majorBidi" w:cstheme="majorBidi"/>
          <w:color w:val="000000"/>
          <w:sz w:val="24"/>
          <w:szCs w:val="24"/>
          <w:lang w:val="en-US"/>
        </w:rPr>
        <w:t xml:space="preserve"> JS, </w:t>
      </w:r>
      <w:proofErr w:type="spellStart"/>
      <w:r w:rsidRPr="00A8664F">
        <w:rPr>
          <w:rFonts w:asciiTheme="majorBidi" w:eastAsia="Times New Roman" w:hAnsiTheme="majorBidi" w:cstheme="majorBidi"/>
          <w:color w:val="000000"/>
          <w:sz w:val="24"/>
          <w:szCs w:val="24"/>
          <w:lang w:val="en-US"/>
        </w:rPr>
        <w:t>Govind</w:t>
      </w:r>
      <w:proofErr w:type="spellEnd"/>
      <w:r w:rsidRPr="00A8664F">
        <w:rPr>
          <w:rFonts w:asciiTheme="majorBidi" w:eastAsia="Times New Roman" w:hAnsiTheme="majorBidi" w:cstheme="majorBidi"/>
          <w:color w:val="000000"/>
          <w:sz w:val="24"/>
          <w:szCs w:val="24"/>
          <w:lang w:val="en-US"/>
        </w:rPr>
        <w:t xml:space="preserve"> B, </w:t>
      </w:r>
      <w:proofErr w:type="spellStart"/>
      <w:r w:rsidRPr="00A8664F">
        <w:rPr>
          <w:rFonts w:asciiTheme="majorBidi" w:eastAsia="Times New Roman" w:hAnsiTheme="majorBidi" w:cstheme="majorBidi"/>
          <w:color w:val="000000"/>
          <w:sz w:val="24"/>
          <w:szCs w:val="24"/>
          <w:lang w:val="en-US"/>
        </w:rPr>
        <w:t>Unnagiri</w:t>
      </w:r>
      <w:proofErr w:type="spellEnd"/>
      <w:r w:rsidRPr="00A8664F">
        <w:rPr>
          <w:rFonts w:asciiTheme="majorBidi" w:eastAsia="Times New Roman" w:hAnsiTheme="majorBidi" w:cstheme="majorBidi"/>
          <w:color w:val="000000"/>
          <w:sz w:val="24"/>
          <w:szCs w:val="24"/>
          <w:lang w:val="en-US"/>
        </w:rPr>
        <w:t xml:space="preserve"> A. Role of </w:t>
      </w:r>
      <w:proofErr w:type="spellStart"/>
      <w:r w:rsidRPr="00A8664F">
        <w:rPr>
          <w:rFonts w:asciiTheme="majorBidi" w:eastAsia="Times New Roman" w:hAnsiTheme="majorBidi" w:cstheme="majorBidi"/>
          <w:color w:val="000000"/>
          <w:sz w:val="24"/>
          <w:szCs w:val="24"/>
          <w:lang w:val="en-US"/>
        </w:rPr>
        <w:t>nebivolol</w:t>
      </w:r>
      <w:proofErr w:type="spellEnd"/>
      <w:r w:rsidRPr="00A8664F">
        <w:rPr>
          <w:rFonts w:asciiTheme="majorBidi" w:eastAsia="Times New Roman" w:hAnsiTheme="majorBidi" w:cstheme="majorBidi"/>
          <w:color w:val="000000"/>
          <w:sz w:val="24"/>
          <w:szCs w:val="24"/>
          <w:lang w:val="en-US"/>
        </w:rPr>
        <w:t xml:space="preserve"> in </w:t>
      </w:r>
      <w:proofErr w:type="spellStart"/>
      <w:r w:rsidRPr="00A8664F">
        <w:rPr>
          <w:rFonts w:asciiTheme="majorBidi" w:eastAsia="Times New Roman" w:hAnsiTheme="majorBidi" w:cstheme="majorBidi"/>
          <w:color w:val="000000"/>
          <w:sz w:val="24"/>
          <w:szCs w:val="24"/>
          <w:lang w:val="en-US"/>
        </w:rPr>
        <w:t>anthracycline</w:t>
      </w:r>
      <w:proofErr w:type="spellEnd"/>
      <w:r w:rsidRPr="00A8664F">
        <w:rPr>
          <w:rFonts w:asciiTheme="majorBidi" w:eastAsia="Times New Roman" w:hAnsiTheme="majorBidi" w:cstheme="majorBidi"/>
          <w:color w:val="000000"/>
          <w:sz w:val="24"/>
          <w:szCs w:val="24"/>
          <w:lang w:val="en-US"/>
        </w:rPr>
        <w:t xml:space="preserve">-induced cardiotoxicity. </w:t>
      </w:r>
      <w:proofErr w:type="spellStart"/>
      <w:r w:rsidRPr="00A8664F">
        <w:rPr>
          <w:rFonts w:asciiTheme="majorBidi" w:eastAsia="Times New Roman" w:hAnsiTheme="majorBidi" w:cstheme="majorBidi"/>
          <w:i/>
          <w:iCs/>
          <w:color w:val="000000"/>
          <w:sz w:val="24"/>
          <w:szCs w:val="24"/>
          <w:lang w:val="en-US"/>
        </w:rPr>
        <w:t>Int</w:t>
      </w:r>
      <w:proofErr w:type="spellEnd"/>
      <w:r w:rsidRPr="00A8664F">
        <w:rPr>
          <w:rFonts w:asciiTheme="majorBidi" w:eastAsia="Times New Roman" w:hAnsiTheme="majorBidi" w:cstheme="majorBidi"/>
          <w:i/>
          <w:iCs/>
          <w:color w:val="000000"/>
          <w:sz w:val="24"/>
          <w:szCs w:val="24"/>
          <w:lang w:val="en-US"/>
        </w:rPr>
        <w:t xml:space="preserve"> J Res Med Sci.</w:t>
      </w:r>
      <w:r w:rsidRPr="00A8664F">
        <w:rPr>
          <w:rFonts w:asciiTheme="majorBidi" w:eastAsia="Times New Roman" w:hAnsiTheme="majorBidi" w:cstheme="majorBidi"/>
          <w:color w:val="000000"/>
          <w:sz w:val="24"/>
          <w:szCs w:val="24"/>
          <w:lang w:val="en-US"/>
        </w:rPr>
        <w:t xml:space="preserve"> 2019;7(12):4677–4681. doi:10.18203/2320-6012.ijrms20195537.</w:t>
      </w:r>
    </w:p>
    <w:p w14:paraId="00989EAD" w14:textId="77777777" w:rsidR="002E10B3" w:rsidRPr="00A8664F" w:rsidRDefault="002E10B3" w:rsidP="00065F60">
      <w:pPr>
        <w:spacing w:after="0" w:line="276" w:lineRule="auto"/>
        <w:jc w:val="both"/>
        <w:rPr>
          <w:rFonts w:asciiTheme="majorBidi" w:eastAsia="Times New Roman" w:hAnsiTheme="majorBidi" w:cstheme="majorBidi"/>
          <w:color w:val="000000"/>
          <w:sz w:val="24"/>
          <w:szCs w:val="24"/>
        </w:rPr>
      </w:pPr>
    </w:p>
    <w:p w14:paraId="6F550BC7" w14:textId="77777777" w:rsidR="002E10B3" w:rsidRPr="00A8664F" w:rsidRDefault="002E10B3" w:rsidP="00065F60">
      <w:pPr>
        <w:spacing w:after="0" w:line="276" w:lineRule="auto"/>
        <w:jc w:val="both"/>
        <w:rPr>
          <w:rFonts w:asciiTheme="majorBidi" w:eastAsia="Times New Roman" w:hAnsiTheme="majorBidi" w:cstheme="majorBidi"/>
          <w:color w:val="000000"/>
          <w:sz w:val="24"/>
          <w:szCs w:val="24"/>
          <w:lang w:val="en-US"/>
        </w:rPr>
      </w:pPr>
      <w:r w:rsidRPr="00A8664F">
        <w:rPr>
          <w:rFonts w:asciiTheme="majorBidi" w:eastAsia="Times New Roman" w:hAnsiTheme="majorBidi" w:cstheme="majorBidi"/>
          <w:color w:val="000000"/>
          <w:sz w:val="24"/>
          <w:szCs w:val="24"/>
        </w:rPr>
        <w:t xml:space="preserve">(18) </w:t>
      </w:r>
      <w:proofErr w:type="spellStart"/>
      <w:r w:rsidRPr="00A8664F">
        <w:rPr>
          <w:rFonts w:asciiTheme="majorBidi" w:eastAsia="Times New Roman" w:hAnsiTheme="majorBidi" w:cstheme="majorBidi"/>
          <w:color w:val="000000"/>
          <w:sz w:val="24"/>
          <w:szCs w:val="24"/>
          <w:lang w:val="en-US"/>
        </w:rPr>
        <w:t>Stefanini</w:t>
      </w:r>
      <w:proofErr w:type="spellEnd"/>
      <w:r w:rsidRPr="00A8664F">
        <w:rPr>
          <w:rFonts w:asciiTheme="majorBidi" w:eastAsia="Times New Roman" w:hAnsiTheme="majorBidi" w:cstheme="majorBidi"/>
          <w:color w:val="000000"/>
          <w:sz w:val="24"/>
          <w:szCs w:val="24"/>
          <w:lang w:val="en-US"/>
        </w:rPr>
        <w:t xml:space="preserve"> G, Carlo-Stella C, </w:t>
      </w:r>
      <w:proofErr w:type="spellStart"/>
      <w:r w:rsidRPr="00A8664F">
        <w:rPr>
          <w:rFonts w:asciiTheme="majorBidi" w:eastAsia="Times New Roman" w:hAnsiTheme="majorBidi" w:cstheme="majorBidi"/>
          <w:color w:val="000000"/>
          <w:sz w:val="24"/>
          <w:szCs w:val="24"/>
          <w:lang w:val="en-US"/>
        </w:rPr>
        <w:t>Cannata</w:t>
      </w:r>
      <w:proofErr w:type="spellEnd"/>
      <w:r w:rsidRPr="00A8664F">
        <w:rPr>
          <w:rFonts w:asciiTheme="majorBidi" w:eastAsia="Times New Roman" w:hAnsiTheme="majorBidi" w:cstheme="majorBidi"/>
          <w:color w:val="000000"/>
          <w:sz w:val="24"/>
          <w:szCs w:val="24"/>
          <w:lang w:val="en-US"/>
        </w:rPr>
        <w:t xml:space="preserve"> F, </w:t>
      </w:r>
      <w:proofErr w:type="spellStart"/>
      <w:r w:rsidRPr="00A8664F">
        <w:rPr>
          <w:rFonts w:asciiTheme="majorBidi" w:eastAsia="Times New Roman" w:hAnsiTheme="majorBidi" w:cstheme="majorBidi"/>
          <w:color w:val="000000"/>
          <w:sz w:val="24"/>
          <w:szCs w:val="24"/>
          <w:lang w:val="en-US"/>
        </w:rPr>
        <w:t>Chiarito</w:t>
      </w:r>
      <w:proofErr w:type="spellEnd"/>
      <w:r w:rsidRPr="00A8664F">
        <w:rPr>
          <w:rFonts w:asciiTheme="majorBidi" w:eastAsia="Times New Roman" w:hAnsiTheme="majorBidi" w:cstheme="majorBidi"/>
          <w:color w:val="000000"/>
          <w:sz w:val="24"/>
          <w:szCs w:val="24"/>
          <w:lang w:val="en-US"/>
        </w:rPr>
        <w:t xml:space="preserve"> M, </w:t>
      </w:r>
      <w:proofErr w:type="spellStart"/>
      <w:r w:rsidRPr="00A8664F">
        <w:rPr>
          <w:rFonts w:asciiTheme="majorBidi" w:eastAsia="Times New Roman" w:hAnsiTheme="majorBidi" w:cstheme="majorBidi"/>
          <w:color w:val="000000"/>
          <w:sz w:val="24"/>
          <w:szCs w:val="24"/>
          <w:lang w:val="en-US"/>
        </w:rPr>
        <w:t>Figliozzi</w:t>
      </w:r>
      <w:proofErr w:type="spellEnd"/>
      <w:r w:rsidRPr="00A8664F">
        <w:rPr>
          <w:rFonts w:asciiTheme="majorBidi" w:eastAsia="Times New Roman" w:hAnsiTheme="majorBidi" w:cstheme="majorBidi"/>
          <w:color w:val="000000"/>
          <w:sz w:val="24"/>
          <w:szCs w:val="24"/>
          <w:lang w:val="en-US"/>
        </w:rPr>
        <w:t xml:space="preserve"> S, </w:t>
      </w:r>
      <w:proofErr w:type="spellStart"/>
      <w:r w:rsidRPr="00A8664F">
        <w:rPr>
          <w:rFonts w:asciiTheme="majorBidi" w:eastAsia="Times New Roman" w:hAnsiTheme="majorBidi" w:cstheme="majorBidi"/>
          <w:color w:val="000000"/>
          <w:sz w:val="24"/>
          <w:szCs w:val="24"/>
          <w:lang w:val="en-US"/>
        </w:rPr>
        <w:t>Novelli</w:t>
      </w:r>
      <w:proofErr w:type="spellEnd"/>
      <w:r w:rsidRPr="00A8664F">
        <w:rPr>
          <w:rFonts w:asciiTheme="majorBidi" w:eastAsia="Times New Roman" w:hAnsiTheme="majorBidi" w:cstheme="majorBidi"/>
          <w:color w:val="000000"/>
          <w:sz w:val="24"/>
          <w:szCs w:val="24"/>
          <w:lang w:val="en-US"/>
        </w:rPr>
        <w:t xml:space="preserve"> L, et al. </w:t>
      </w:r>
      <w:proofErr w:type="spellStart"/>
      <w:r w:rsidRPr="00A8664F">
        <w:rPr>
          <w:rFonts w:asciiTheme="majorBidi" w:eastAsia="Times New Roman" w:hAnsiTheme="majorBidi" w:cstheme="majorBidi"/>
          <w:color w:val="000000"/>
          <w:sz w:val="24"/>
          <w:szCs w:val="24"/>
          <w:lang w:val="en-US"/>
        </w:rPr>
        <w:t>Cardioprotection</w:t>
      </w:r>
      <w:proofErr w:type="spellEnd"/>
      <w:r w:rsidRPr="00A8664F">
        <w:rPr>
          <w:rFonts w:asciiTheme="majorBidi" w:eastAsia="Times New Roman" w:hAnsiTheme="majorBidi" w:cstheme="majorBidi"/>
          <w:color w:val="000000"/>
          <w:sz w:val="24"/>
          <w:szCs w:val="24"/>
          <w:lang w:val="en-US"/>
        </w:rPr>
        <w:t xml:space="preserve"> with </w:t>
      </w:r>
      <w:proofErr w:type="spellStart"/>
      <w:r w:rsidRPr="00A8664F">
        <w:rPr>
          <w:rFonts w:asciiTheme="majorBidi" w:eastAsia="Times New Roman" w:hAnsiTheme="majorBidi" w:cstheme="majorBidi"/>
          <w:color w:val="000000"/>
          <w:sz w:val="24"/>
          <w:szCs w:val="24"/>
          <w:lang w:val="en-US"/>
        </w:rPr>
        <w:t>nebivolol</w:t>
      </w:r>
      <w:proofErr w:type="spellEnd"/>
      <w:r w:rsidRPr="00A8664F">
        <w:rPr>
          <w:rFonts w:asciiTheme="majorBidi" w:eastAsia="Times New Roman" w:hAnsiTheme="majorBidi" w:cstheme="majorBidi"/>
          <w:color w:val="000000"/>
          <w:sz w:val="24"/>
          <w:szCs w:val="24"/>
          <w:lang w:val="en-US"/>
        </w:rPr>
        <w:t xml:space="preserve"> in patients undergoing </w:t>
      </w:r>
      <w:proofErr w:type="spellStart"/>
      <w:r w:rsidRPr="00A8664F">
        <w:rPr>
          <w:rFonts w:asciiTheme="majorBidi" w:eastAsia="Times New Roman" w:hAnsiTheme="majorBidi" w:cstheme="majorBidi"/>
          <w:color w:val="000000"/>
          <w:sz w:val="24"/>
          <w:szCs w:val="24"/>
          <w:lang w:val="en-US"/>
        </w:rPr>
        <w:t>anthracyclines</w:t>
      </w:r>
      <w:proofErr w:type="spellEnd"/>
      <w:r w:rsidRPr="00A8664F">
        <w:rPr>
          <w:rFonts w:asciiTheme="majorBidi" w:eastAsia="Times New Roman" w:hAnsiTheme="majorBidi" w:cstheme="majorBidi"/>
          <w:color w:val="000000"/>
          <w:sz w:val="24"/>
          <w:szCs w:val="24"/>
          <w:lang w:val="en-US"/>
        </w:rPr>
        <w:t xml:space="preserve">: a randomized placebo-controlled trial. </w:t>
      </w:r>
      <w:proofErr w:type="spellStart"/>
      <w:r w:rsidRPr="00A8664F">
        <w:rPr>
          <w:rFonts w:asciiTheme="majorBidi" w:eastAsia="Times New Roman" w:hAnsiTheme="majorBidi" w:cstheme="majorBidi"/>
          <w:i/>
          <w:iCs/>
          <w:color w:val="000000"/>
          <w:sz w:val="24"/>
          <w:szCs w:val="24"/>
          <w:lang w:val="en-US"/>
        </w:rPr>
        <w:t>Cardiovasc</w:t>
      </w:r>
      <w:proofErr w:type="spellEnd"/>
      <w:r w:rsidRPr="00A8664F">
        <w:rPr>
          <w:rFonts w:asciiTheme="majorBidi" w:eastAsia="Times New Roman" w:hAnsiTheme="majorBidi" w:cstheme="majorBidi"/>
          <w:i/>
          <w:iCs/>
          <w:color w:val="000000"/>
          <w:sz w:val="24"/>
          <w:szCs w:val="24"/>
          <w:lang w:val="en-US"/>
        </w:rPr>
        <w:t xml:space="preserve"> Res.</w:t>
      </w:r>
      <w:r w:rsidRPr="00A8664F">
        <w:rPr>
          <w:rFonts w:asciiTheme="majorBidi" w:eastAsia="Times New Roman" w:hAnsiTheme="majorBidi" w:cstheme="majorBidi"/>
          <w:color w:val="000000"/>
          <w:sz w:val="24"/>
          <w:szCs w:val="24"/>
          <w:lang w:val="en-US"/>
        </w:rPr>
        <w:t xml:space="preserve"> 2025;121(2):227–229. doi:10.1093/</w:t>
      </w:r>
      <w:proofErr w:type="spellStart"/>
      <w:r w:rsidRPr="00A8664F">
        <w:rPr>
          <w:rFonts w:asciiTheme="majorBidi" w:eastAsia="Times New Roman" w:hAnsiTheme="majorBidi" w:cstheme="majorBidi"/>
          <w:color w:val="000000"/>
          <w:sz w:val="24"/>
          <w:szCs w:val="24"/>
          <w:lang w:val="en-US"/>
        </w:rPr>
        <w:t>cvr</w:t>
      </w:r>
      <w:proofErr w:type="spellEnd"/>
      <w:r w:rsidRPr="00A8664F">
        <w:rPr>
          <w:rFonts w:asciiTheme="majorBidi" w:eastAsia="Times New Roman" w:hAnsiTheme="majorBidi" w:cstheme="majorBidi"/>
          <w:color w:val="000000"/>
          <w:sz w:val="24"/>
          <w:szCs w:val="24"/>
          <w:lang w:val="en-US"/>
        </w:rPr>
        <w:t>/cvae266.</w:t>
      </w:r>
    </w:p>
    <w:p w14:paraId="3BAEA091" w14:textId="2CB1CA14" w:rsidR="002E10B3" w:rsidRPr="00A8664F" w:rsidRDefault="002E10B3" w:rsidP="00065F60">
      <w:pPr>
        <w:spacing w:after="0" w:line="276" w:lineRule="auto"/>
        <w:jc w:val="both"/>
        <w:rPr>
          <w:rFonts w:asciiTheme="majorBidi" w:eastAsia="Times New Roman" w:hAnsiTheme="majorBidi" w:cstheme="majorBidi"/>
          <w:b/>
          <w:bCs/>
          <w:color w:val="000000"/>
          <w:sz w:val="24"/>
          <w:szCs w:val="24"/>
        </w:rPr>
      </w:pPr>
    </w:p>
    <w:sectPr w:rsidR="002E10B3" w:rsidRPr="00A8664F" w:rsidSect="001170B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E58A3" w14:textId="77777777" w:rsidR="0052190E" w:rsidRDefault="0052190E">
      <w:pPr>
        <w:spacing w:after="0" w:line="240" w:lineRule="auto"/>
      </w:pPr>
      <w:r>
        <w:separator/>
      </w:r>
    </w:p>
  </w:endnote>
  <w:endnote w:type="continuationSeparator" w:id="0">
    <w:p w14:paraId="1F703258" w14:textId="77777777" w:rsidR="0052190E" w:rsidRDefault="00521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C7A95B3C-52AB-4BF5-A4DE-70D30CC5D932}"/>
    <w:embedBold r:id="rId2" w:fontKey="{F6DE2B1A-2297-4ABF-A371-8FBA584DF104}"/>
  </w:font>
  <w:font w:name="Georgia">
    <w:panose1 w:val="02040502050405020303"/>
    <w:charset w:val="00"/>
    <w:family w:val="roman"/>
    <w:pitch w:val="variable"/>
    <w:sig w:usb0="00000287" w:usb1="00000000" w:usb2="00000000" w:usb3="00000000" w:csb0="0000009F" w:csb1="00000000"/>
    <w:embedItalic r:id="rId3" w:fontKey="{E40289C5-DD89-3A42-83D9-F3B37C1056C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E21AEECB-2B1B-F846-A893-59D74618E33C}"/>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F76CC" w14:textId="77777777" w:rsidR="0052190E" w:rsidRDefault="0052190E">
      <w:pPr>
        <w:spacing w:after="0" w:line="240" w:lineRule="auto"/>
      </w:pPr>
      <w:r>
        <w:separator/>
      </w:r>
    </w:p>
  </w:footnote>
  <w:footnote w:type="continuationSeparator" w:id="0">
    <w:p w14:paraId="65FB5235" w14:textId="77777777" w:rsidR="0052190E" w:rsidRDefault="00521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32F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5618D1"/>
    <w:multiLevelType w:val="hybridMultilevel"/>
    <w:tmpl w:val="A6708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07B47"/>
    <w:multiLevelType w:val="hybridMultilevel"/>
    <w:tmpl w:val="27A8A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BF1B43"/>
    <w:multiLevelType w:val="hybridMultilevel"/>
    <w:tmpl w:val="36864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16568C"/>
    <w:multiLevelType w:val="multilevel"/>
    <w:tmpl w:val="098CAC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29497211">
    <w:abstractNumId w:val="4"/>
  </w:num>
  <w:num w:numId="2" w16cid:durableId="358162758">
    <w:abstractNumId w:val="2"/>
  </w:num>
  <w:num w:numId="3" w16cid:durableId="990795783">
    <w:abstractNumId w:val="1"/>
  </w:num>
  <w:num w:numId="4" w16cid:durableId="1923174147">
    <w:abstractNumId w:val="3"/>
  </w:num>
  <w:num w:numId="5" w16cid:durableId="838349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5"/>
  <w:embedTrueTypeFonts/>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89"/>
    <w:rsid w:val="00032031"/>
    <w:rsid w:val="00065F60"/>
    <w:rsid w:val="000D705B"/>
    <w:rsid w:val="00110E0D"/>
    <w:rsid w:val="001170B3"/>
    <w:rsid w:val="001C3486"/>
    <w:rsid w:val="001E41E3"/>
    <w:rsid w:val="002414A5"/>
    <w:rsid w:val="00263AE9"/>
    <w:rsid w:val="002C1C89"/>
    <w:rsid w:val="002E10B3"/>
    <w:rsid w:val="00345845"/>
    <w:rsid w:val="004241D2"/>
    <w:rsid w:val="00441C75"/>
    <w:rsid w:val="00461E81"/>
    <w:rsid w:val="00485E8B"/>
    <w:rsid w:val="0052190E"/>
    <w:rsid w:val="00543D30"/>
    <w:rsid w:val="00637884"/>
    <w:rsid w:val="00691216"/>
    <w:rsid w:val="006A33B7"/>
    <w:rsid w:val="006E4EBE"/>
    <w:rsid w:val="00720201"/>
    <w:rsid w:val="00795625"/>
    <w:rsid w:val="007B71D0"/>
    <w:rsid w:val="00890F85"/>
    <w:rsid w:val="008B449B"/>
    <w:rsid w:val="009508B9"/>
    <w:rsid w:val="009B6424"/>
    <w:rsid w:val="00A50645"/>
    <w:rsid w:val="00A8664F"/>
    <w:rsid w:val="00A90022"/>
    <w:rsid w:val="00AC320F"/>
    <w:rsid w:val="00AD1481"/>
    <w:rsid w:val="00B077D1"/>
    <w:rsid w:val="00B53833"/>
    <w:rsid w:val="00C24DEF"/>
    <w:rsid w:val="00C66FFF"/>
    <w:rsid w:val="00C67D2F"/>
    <w:rsid w:val="00CA31F3"/>
    <w:rsid w:val="00D25A90"/>
    <w:rsid w:val="00D905F5"/>
    <w:rsid w:val="00DA6419"/>
    <w:rsid w:val="00FA1FB6"/>
    <w:rsid w:val="00FF40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09B3A"/>
  <w15:docId w15:val="{47861AD9-E4F6-493C-B901-A2D9994D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after="0" w:line="240" w:lineRule="auto"/>
      <w:outlineLvl w:val="0"/>
    </w:pPr>
    <w:rPr>
      <w:rFonts w:ascii="Times New Roman" w:eastAsia="Times New Roman" w:hAnsi="Times New Roman" w:cs="Times New Roman"/>
      <w:color w:val="2E74B5"/>
      <w:sz w:val="32"/>
      <w:szCs w:val="32"/>
    </w:rPr>
  </w:style>
  <w:style w:type="paragraph" w:styleId="Heading2">
    <w:name w:val="heading 2"/>
    <w:basedOn w:val="Normal"/>
    <w:next w:val="Normal"/>
    <w:uiPriority w:val="9"/>
    <w:unhideWhenUsed/>
    <w:qFormat/>
    <w:pPr>
      <w:pBdr>
        <w:top w:val="nil"/>
        <w:left w:val="nil"/>
        <w:bottom w:val="nil"/>
        <w:right w:val="nil"/>
        <w:between w:val="nil"/>
      </w:pBdr>
      <w:spacing w:after="0" w:line="240" w:lineRule="auto"/>
      <w:outlineLvl w:val="1"/>
    </w:pPr>
    <w:rPr>
      <w:rFonts w:ascii="Times New Roman" w:eastAsia="Times New Roman" w:hAnsi="Times New Roman" w:cs="Times New Roman"/>
      <w:color w:val="2E74B5"/>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17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0B3"/>
  </w:style>
  <w:style w:type="paragraph" w:styleId="Footer">
    <w:name w:val="footer"/>
    <w:basedOn w:val="Normal"/>
    <w:link w:val="FooterChar"/>
    <w:uiPriority w:val="99"/>
    <w:unhideWhenUsed/>
    <w:rsid w:val="00117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0B3"/>
  </w:style>
  <w:style w:type="paragraph" w:styleId="ListParagraph">
    <w:name w:val="List Paragraph"/>
    <w:basedOn w:val="Normal"/>
    <w:uiPriority w:val="34"/>
    <w:qFormat/>
    <w:rsid w:val="00C24DEF"/>
    <w:pPr>
      <w:ind w:left="720"/>
      <w:contextualSpacing/>
    </w:pPr>
  </w:style>
  <w:style w:type="character" w:styleId="Hyperlink">
    <w:name w:val="Hyperlink"/>
    <w:basedOn w:val="DefaultParagraphFont"/>
    <w:uiPriority w:val="99"/>
    <w:unhideWhenUsed/>
    <w:rsid w:val="00485E8B"/>
    <w:rPr>
      <w:color w:val="0000FF" w:themeColor="hyperlink"/>
      <w:u w:val="single"/>
    </w:rPr>
  </w:style>
  <w:style w:type="character" w:styleId="UnresolvedMention">
    <w:name w:val="Unresolved Mention"/>
    <w:basedOn w:val="DefaultParagraphFont"/>
    <w:uiPriority w:val="99"/>
    <w:semiHidden/>
    <w:unhideWhenUsed/>
    <w:rsid w:val="00485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png"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530DD-87B6-4E13-914E-D5931FBD767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7489</Words>
  <Characters>42693</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Muddassir Khalid</cp:lastModifiedBy>
  <cp:revision>5</cp:revision>
  <dcterms:created xsi:type="dcterms:W3CDTF">2026-09-06T02:29:00Z</dcterms:created>
  <dcterms:modified xsi:type="dcterms:W3CDTF">2026-09-06T02:32:00Z</dcterms:modified>
</cp:coreProperties>
</file>