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7C512" w14:textId="790DB50A" w:rsidR="00D33970" w:rsidRDefault="0016703F" w:rsidP="007D02EE">
      <w:pPr>
        <w:spacing w:after="200" w:line="276" w:lineRule="auto"/>
        <w:jc w:val="center"/>
        <w:rPr>
          <w:rFonts w:asciiTheme="minorHAnsi" w:hAnsiTheme="minorHAnsi" w:cstheme="minorHAnsi"/>
          <w:b/>
          <w:bCs/>
          <w:sz w:val="32"/>
          <w:szCs w:val="32"/>
        </w:rPr>
      </w:pPr>
      <w:bookmarkStart w:id="0" w:name="OLE_LINK1"/>
      <w:proofErr w:type="spellStart"/>
      <w:r>
        <w:rPr>
          <w:rFonts w:asciiTheme="minorHAnsi" w:hAnsiTheme="minorHAnsi" w:cstheme="minorHAnsi"/>
          <w:b/>
          <w:bCs/>
          <w:sz w:val="32"/>
          <w:szCs w:val="32"/>
        </w:rPr>
        <w:t>Levosimendan</w:t>
      </w:r>
      <w:proofErr w:type="spellEnd"/>
      <w:r>
        <w:rPr>
          <w:rFonts w:asciiTheme="minorHAnsi" w:hAnsiTheme="minorHAnsi" w:cstheme="minorHAnsi"/>
          <w:b/>
          <w:bCs/>
          <w:sz w:val="32"/>
          <w:szCs w:val="32"/>
        </w:rPr>
        <w:t xml:space="preserve"> in adults with cardiogenic shock supported by VA-ECMO</w:t>
      </w:r>
      <w:bookmarkEnd w:id="0"/>
      <w:r>
        <w:rPr>
          <w:rFonts w:asciiTheme="minorHAnsi" w:hAnsiTheme="minorHAnsi" w:cstheme="minorHAnsi"/>
          <w:b/>
          <w:bCs/>
          <w:sz w:val="32"/>
          <w:szCs w:val="32"/>
        </w:rPr>
        <w:t>: updated systematic review and meta-analysis</w:t>
      </w:r>
    </w:p>
    <w:p w14:paraId="42DD92E6" w14:textId="77777777" w:rsidR="007D02EE" w:rsidRPr="00D33970" w:rsidRDefault="007D02EE" w:rsidP="007D02EE">
      <w:pPr>
        <w:spacing w:after="200" w:line="276" w:lineRule="auto"/>
        <w:jc w:val="center"/>
        <w:rPr>
          <w:rFonts w:asciiTheme="minorHAnsi" w:hAnsiTheme="minorHAnsi" w:cstheme="minorHAnsi"/>
          <w:b/>
          <w:bCs/>
          <w:sz w:val="32"/>
          <w:szCs w:val="32"/>
        </w:rPr>
      </w:pPr>
    </w:p>
    <w:p w14:paraId="16AD7C30" w14:textId="3CF3AD61" w:rsidR="00D33970" w:rsidRDefault="00D33970" w:rsidP="00D33970">
      <w:pPr>
        <w:spacing w:after="120" w:line="259" w:lineRule="auto"/>
      </w:pPr>
      <w:r>
        <w:rPr>
          <w:rFonts w:asciiTheme="minorHAnsi" w:hAnsiTheme="minorHAnsi" w:cstheme="minorHAnsi"/>
          <w:b/>
        </w:rPr>
        <w:t xml:space="preserve">Authors: </w:t>
      </w:r>
      <w:r>
        <w:rPr>
          <w:rFonts w:asciiTheme="minorHAnsi" w:hAnsiTheme="minorHAnsi" w:cstheme="minorHAnsi"/>
        </w:rPr>
        <w:t>David Woode</w:t>
      </w:r>
      <w:r>
        <w:rPr>
          <w:rFonts w:asciiTheme="minorHAnsi" w:hAnsiTheme="minorHAnsi" w:cstheme="minorHAnsi"/>
          <w:vertAlign w:val="superscript"/>
        </w:rPr>
        <w:t>1</w:t>
      </w:r>
      <w:r>
        <w:rPr>
          <w:rFonts w:asciiTheme="minorHAnsi" w:hAnsiTheme="minorHAnsi" w:cstheme="minorHAnsi"/>
        </w:rPr>
        <w:t xml:space="preserve">, </w:t>
      </w:r>
      <w:proofErr w:type="spellStart"/>
      <w:r>
        <w:rPr>
          <w:rFonts w:asciiTheme="minorHAnsi" w:hAnsiTheme="minorHAnsi" w:cstheme="minorHAnsi"/>
        </w:rPr>
        <w:t>Khansa</w:t>
      </w:r>
      <w:proofErr w:type="spellEnd"/>
      <w:r>
        <w:rPr>
          <w:rFonts w:asciiTheme="minorHAnsi" w:hAnsiTheme="minorHAnsi" w:cstheme="minorHAnsi"/>
        </w:rPr>
        <w:t xml:space="preserve"> Faysal Faridi</w:t>
      </w:r>
      <w:r>
        <w:rPr>
          <w:rFonts w:asciiTheme="minorHAnsi" w:hAnsiTheme="minorHAnsi" w:cstheme="minorHAnsi"/>
          <w:vertAlign w:val="superscript"/>
        </w:rPr>
        <w:t>2</w:t>
      </w:r>
      <w:r>
        <w:rPr>
          <w:rFonts w:asciiTheme="minorHAnsi" w:hAnsiTheme="minorHAnsi" w:cstheme="minorHAnsi"/>
        </w:rPr>
        <w:t>, Adan Farrukh</w:t>
      </w:r>
      <w:r>
        <w:rPr>
          <w:rFonts w:asciiTheme="minorHAnsi" w:hAnsiTheme="minorHAnsi" w:cstheme="minorHAnsi"/>
          <w:vertAlign w:val="superscript"/>
        </w:rPr>
        <w:t>3</w:t>
      </w:r>
      <w:r>
        <w:rPr>
          <w:rFonts w:asciiTheme="minorHAnsi" w:hAnsiTheme="minorHAnsi" w:cstheme="minorHAnsi"/>
        </w:rPr>
        <w:t>, Qadr Amir</w:t>
      </w:r>
      <w:r>
        <w:rPr>
          <w:rFonts w:asciiTheme="minorHAnsi" w:hAnsiTheme="minorHAnsi" w:cstheme="minorHAnsi"/>
          <w:vertAlign w:val="superscript"/>
        </w:rPr>
        <w:t>4</w:t>
      </w:r>
      <w:r>
        <w:rPr>
          <w:rFonts w:asciiTheme="minorHAnsi" w:hAnsiTheme="minorHAnsi" w:cstheme="minorHAnsi"/>
        </w:rPr>
        <w:t>, Mariam Mukhtar</w:t>
      </w:r>
      <w:r>
        <w:rPr>
          <w:rFonts w:asciiTheme="minorHAnsi" w:hAnsiTheme="minorHAnsi" w:cstheme="minorHAnsi"/>
          <w:vertAlign w:val="superscript"/>
        </w:rPr>
        <w:t>3</w:t>
      </w:r>
      <w:r>
        <w:rPr>
          <w:rFonts w:asciiTheme="minorHAnsi" w:hAnsiTheme="minorHAnsi" w:cstheme="minorHAnsi"/>
        </w:rPr>
        <w:t>, Muhammad Awais</w:t>
      </w:r>
      <w:r>
        <w:rPr>
          <w:rFonts w:asciiTheme="minorHAnsi" w:hAnsiTheme="minorHAnsi" w:cstheme="minorHAnsi"/>
          <w:vertAlign w:val="superscript"/>
        </w:rPr>
        <w:t>5</w:t>
      </w:r>
      <w:r>
        <w:rPr>
          <w:rFonts w:asciiTheme="minorHAnsi" w:hAnsiTheme="minorHAnsi" w:cstheme="minorHAnsi"/>
        </w:rPr>
        <w:t>, M. Wajahat Irshad</w:t>
      </w:r>
      <w:r>
        <w:rPr>
          <w:rFonts w:asciiTheme="minorHAnsi" w:hAnsiTheme="minorHAnsi" w:cstheme="minorHAnsi"/>
          <w:vertAlign w:val="superscript"/>
        </w:rPr>
        <w:t>6</w:t>
      </w:r>
      <w:r>
        <w:rPr>
          <w:rFonts w:asciiTheme="minorHAnsi" w:hAnsiTheme="minorHAnsi" w:cstheme="minorHAnsi"/>
        </w:rPr>
        <w:t xml:space="preserve">, </w:t>
      </w:r>
      <w:proofErr w:type="spellStart"/>
      <w:r>
        <w:rPr>
          <w:rFonts w:asciiTheme="minorHAnsi" w:hAnsiTheme="minorHAnsi" w:cstheme="minorHAnsi"/>
        </w:rPr>
        <w:t>Romesa</w:t>
      </w:r>
      <w:proofErr w:type="spellEnd"/>
      <w:r>
        <w:rPr>
          <w:rFonts w:asciiTheme="minorHAnsi" w:hAnsiTheme="minorHAnsi" w:cstheme="minorHAnsi"/>
        </w:rPr>
        <w:t xml:space="preserve"> Saqib</w:t>
      </w:r>
      <w:r>
        <w:rPr>
          <w:rFonts w:asciiTheme="minorHAnsi" w:hAnsiTheme="minorHAnsi" w:cstheme="minorHAnsi"/>
          <w:vertAlign w:val="superscript"/>
        </w:rPr>
        <w:t>7</w:t>
      </w:r>
      <w:r>
        <w:rPr>
          <w:rFonts w:asciiTheme="minorHAnsi" w:hAnsiTheme="minorHAnsi" w:cstheme="minorHAnsi"/>
        </w:rPr>
        <w:t>, Farouk Hijazi</w:t>
      </w:r>
      <w:r>
        <w:rPr>
          <w:rFonts w:asciiTheme="minorHAnsi" w:hAnsiTheme="minorHAnsi" w:cstheme="minorHAnsi"/>
          <w:vertAlign w:val="superscript"/>
        </w:rPr>
        <w:t>8</w:t>
      </w:r>
      <w:r>
        <w:rPr>
          <w:rFonts w:asciiTheme="minorHAnsi" w:hAnsiTheme="minorHAnsi" w:cstheme="minorHAnsi"/>
        </w:rPr>
        <w:t>,</w:t>
      </w:r>
      <w:r w:rsidR="004A24C6" w:rsidRPr="004A24C6">
        <w:rPr>
          <w:rFonts w:asciiTheme="minorHAnsi" w:hAnsiTheme="minorHAnsi" w:cstheme="minorHAnsi"/>
        </w:rPr>
        <w:t xml:space="preserve"> </w:t>
      </w:r>
      <w:r w:rsidR="004A24C6">
        <w:rPr>
          <w:rFonts w:asciiTheme="minorHAnsi" w:hAnsiTheme="minorHAnsi" w:cstheme="minorHAnsi"/>
        </w:rPr>
        <w:t>Maryam Sikandar</w:t>
      </w:r>
      <w:r w:rsidR="004A24C6">
        <w:rPr>
          <w:rFonts w:asciiTheme="minorHAnsi" w:hAnsiTheme="minorHAnsi" w:cstheme="minorHAnsi"/>
          <w:vertAlign w:val="superscript"/>
        </w:rPr>
        <w:t>2</w:t>
      </w:r>
      <w:r w:rsidR="004A24C6">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Sumia</w:t>
      </w:r>
      <w:proofErr w:type="spellEnd"/>
      <w:r>
        <w:rPr>
          <w:rFonts w:asciiTheme="minorHAnsi" w:hAnsiTheme="minorHAnsi" w:cstheme="minorHAnsi"/>
        </w:rPr>
        <w:t xml:space="preserve"> Fatima, MBBS</w:t>
      </w:r>
      <w:r>
        <w:rPr>
          <w:rFonts w:asciiTheme="minorHAnsi" w:hAnsiTheme="minorHAnsi" w:cstheme="minorHAnsi"/>
          <w:vertAlign w:val="superscript"/>
        </w:rPr>
        <w:t>3*</w:t>
      </w:r>
    </w:p>
    <w:p w14:paraId="4086971A" w14:textId="77777777" w:rsidR="00D33970" w:rsidRDefault="00D33970" w:rsidP="00D33970">
      <w:pPr>
        <w:spacing w:after="40" w:line="259" w:lineRule="auto"/>
        <w:rPr>
          <w:rFonts w:asciiTheme="minorHAnsi" w:hAnsiTheme="minorHAnsi" w:cstheme="minorHAnsi"/>
          <w:b/>
        </w:rPr>
      </w:pPr>
    </w:p>
    <w:p w14:paraId="1881F3C3" w14:textId="097DF758" w:rsidR="00D33970" w:rsidRDefault="00D33970" w:rsidP="00D33970">
      <w:pPr>
        <w:spacing w:after="40" w:line="259" w:lineRule="auto"/>
      </w:pPr>
      <w:r>
        <w:rPr>
          <w:rFonts w:asciiTheme="minorHAnsi" w:hAnsiTheme="minorHAnsi" w:cstheme="minorHAnsi"/>
          <w:b/>
        </w:rPr>
        <w:t>Affiliations:</w:t>
      </w:r>
    </w:p>
    <w:p w14:paraId="4C714DC4" w14:textId="77777777" w:rsidR="00D33970" w:rsidRDefault="00D33970" w:rsidP="00D33970">
      <w:pPr>
        <w:spacing w:after="20" w:line="259" w:lineRule="auto"/>
      </w:pPr>
      <w:r>
        <w:rPr>
          <w:rFonts w:asciiTheme="minorHAnsi" w:hAnsiTheme="minorHAnsi" w:cstheme="minorHAnsi"/>
          <w:vertAlign w:val="superscript"/>
        </w:rPr>
        <w:t xml:space="preserve">1 </w:t>
      </w:r>
      <w:r>
        <w:rPr>
          <w:rFonts w:asciiTheme="minorHAnsi" w:hAnsiTheme="minorHAnsi" w:cstheme="minorHAnsi"/>
        </w:rPr>
        <w:t xml:space="preserve">Xavier School of Medicine, </w:t>
      </w:r>
      <w:proofErr w:type="spellStart"/>
      <w:r>
        <w:rPr>
          <w:rFonts w:asciiTheme="minorHAnsi" w:hAnsiTheme="minorHAnsi" w:cstheme="minorHAnsi"/>
        </w:rPr>
        <w:t>Oranjestad</w:t>
      </w:r>
      <w:proofErr w:type="spellEnd"/>
      <w:r>
        <w:rPr>
          <w:rFonts w:asciiTheme="minorHAnsi" w:hAnsiTheme="minorHAnsi" w:cstheme="minorHAnsi"/>
        </w:rPr>
        <w:t>, Aruba</w:t>
      </w:r>
    </w:p>
    <w:p w14:paraId="31C12E72" w14:textId="77777777" w:rsidR="00D33970" w:rsidRDefault="00D33970" w:rsidP="00D33970">
      <w:pPr>
        <w:spacing w:after="20" w:line="259" w:lineRule="auto"/>
      </w:pPr>
      <w:r>
        <w:rPr>
          <w:rFonts w:asciiTheme="minorHAnsi" w:hAnsiTheme="minorHAnsi" w:cstheme="minorHAnsi"/>
          <w:vertAlign w:val="superscript"/>
        </w:rPr>
        <w:t xml:space="preserve">2 </w:t>
      </w:r>
      <w:r>
        <w:rPr>
          <w:rFonts w:asciiTheme="minorHAnsi" w:hAnsiTheme="minorHAnsi" w:cstheme="minorHAnsi"/>
        </w:rPr>
        <w:t>Karachi Metropolitan University, Karachi, Pakistan</w:t>
      </w:r>
    </w:p>
    <w:p w14:paraId="5B1FA7E0" w14:textId="77777777" w:rsidR="00D33970" w:rsidRDefault="00D33970" w:rsidP="00D33970">
      <w:pPr>
        <w:spacing w:after="20" w:line="259" w:lineRule="auto"/>
      </w:pPr>
      <w:r>
        <w:rPr>
          <w:rFonts w:asciiTheme="minorHAnsi" w:hAnsiTheme="minorHAnsi" w:cstheme="minorHAnsi"/>
          <w:vertAlign w:val="superscript"/>
        </w:rPr>
        <w:t xml:space="preserve">3 </w:t>
      </w:r>
      <w:r>
        <w:rPr>
          <w:rFonts w:asciiTheme="minorHAnsi" w:hAnsiTheme="minorHAnsi" w:cstheme="minorHAnsi"/>
        </w:rPr>
        <w:t>Rawalpindi Medical University, Rawalpindi, Pakistan</w:t>
      </w:r>
    </w:p>
    <w:p w14:paraId="68781BC2" w14:textId="77777777" w:rsidR="00D33970" w:rsidRDefault="00D33970" w:rsidP="00D33970">
      <w:pPr>
        <w:spacing w:after="20" w:line="259" w:lineRule="auto"/>
      </w:pPr>
      <w:r>
        <w:rPr>
          <w:rFonts w:asciiTheme="minorHAnsi" w:hAnsiTheme="minorHAnsi" w:cstheme="minorHAnsi"/>
          <w:vertAlign w:val="superscript"/>
        </w:rPr>
        <w:t xml:space="preserve">4 </w:t>
      </w:r>
      <w:r>
        <w:rPr>
          <w:rFonts w:asciiTheme="minorHAnsi" w:hAnsiTheme="minorHAnsi" w:cstheme="minorHAnsi"/>
        </w:rPr>
        <w:t>Fatima Jinnah Medical University, Lahore, Pakistan</w:t>
      </w:r>
    </w:p>
    <w:p w14:paraId="62CDC415" w14:textId="77777777" w:rsidR="00D33970" w:rsidRDefault="00D33970" w:rsidP="00D33970">
      <w:pPr>
        <w:spacing w:after="20" w:line="259" w:lineRule="auto"/>
      </w:pPr>
      <w:r>
        <w:rPr>
          <w:rFonts w:asciiTheme="minorHAnsi" w:hAnsiTheme="minorHAnsi" w:cstheme="minorHAnsi"/>
          <w:vertAlign w:val="superscript"/>
        </w:rPr>
        <w:t xml:space="preserve">5 </w:t>
      </w:r>
      <w:r>
        <w:rPr>
          <w:rFonts w:asciiTheme="minorHAnsi" w:hAnsiTheme="minorHAnsi" w:cstheme="minorHAnsi"/>
        </w:rPr>
        <w:t xml:space="preserve">Poonch Medical College, </w:t>
      </w:r>
      <w:proofErr w:type="spellStart"/>
      <w:r>
        <w:rPr>
          <w:rFonts w:asciiTheme="minorHAnsi" w:hAnsiTheme="minorHAnsi" w:cstheme="minorHAnsi"/>
        </w:rPr>
        <w:t>Rawalakot</w:t>
      </w:r>
      <w:proofErr w:type="spellEnd"/>
      <w:r>
        <w:rPr>
          <w:rFonts w:asciiTheme="minorHAnsi" w:hAnsiTheme="minorHAnsi" w:cstheme="minorHAnsi"/>
        </w:rPr>
        <w:t>, Pakistan</w:t>
      </w:r>
    </w:p>
    <w:p w14:paraId="0AE834F8" w14:textId="77777777" w:rsidR="00D33970" w:rsidRDefault="00D33970" w:rsidP="00D33970">
      <w:pPr>
        <w:spacing w:after="20" w:line="259" w:lineRule="auto"/>
      </w:pPr>
      <w:r>
        <w:rPr>
          <w:rFonts w:asciiTheme="minorHAnsi" w:hAnsiTheme="minorHAnsi" w:cstheme="minorHAnsi"/>
          <w:vertAlign w:val="superscript"/>
        </w:rPr>
        <w:t xml:space="preserve">6 </w:t>
      </w:r>
      <w:r>
        <w:rPr>
          <w:rFonts w:asciiTheme="minorHAnsi" w:hAnsiTheme="minorHAnsi" w:cstheme="minorHAnsi"/>
        </w:rPr>
        <w:t>Faisalabad Medical University, Faisalabad, Pakistan</w:t>
      </w:r>
    </w:p>
    <w:p w14:paraId="0944D1AF" w14:textId="77777777" w:rsidR="00D33970" w:rsidRDefault="00D33970" w:rsidP="00D33970">
      <w:pPr>
        <w:spacing w:after="20" w:line="259" w:lineRule="auto"/>
      </w:pPr>
      <w:r>
        <w:rPr>
          <w:rFonts w:asciiTheme="minorHAnsi" w:hAnsiTheme="minorHAnsi" w:cstheme="minorHAnsi"/>
          <w:vertAlign w:val="superscript"/>
        </w:rPr>
        <w:t xml:space="preserve">7 </w:t>
      </w:r>
      <w:r>
        <w:rPr>
          <w:rFonts w:asciiTheme="minorHAnsi" w:hAnsiTheme="minorHAnsi" w:cstheme="minorHAnsi"/>
        </w:rPr>
        <w:t>Lahore Medical and Dental College, Lahore, Pakistan</w:t>
      </w:r>
    </w:p>
    <w:p w14:paraId="302CD3E8" w14:textId="77777777" w:rsidR="00D33970" w:rsidRDefault="00D33970" w:rsidP="00D33970">
      <w:pPr>
        <w:spacing w:after="20" w:line="259" w:lineRule="auto"/>
      </w:pPr>
      <w:r>
        <w:rPr>
          <w:rFonts w:asciiTheme="minorHAnsi" w:hAnsiTheme="minorHAnsi" w:cstheme="minorHAnsi"/>
          <w:vertAlign w:val="superscript"/>
        </w:rPr>
        <w:t xml:space="preserve">8 </w:t>
      </w:r>
      <w:r>
        <w:rPr>
          <w:rFonts w:asciiTheme="minorHAnsi" w:hAnsiTheme="minorHAnsi" w:cstheme="minorHAnsi"/>
        </w:rPr>
        <w:t>Ajman University, Ajman, United Arab Emirates</w:t>
      </w:r>
    </w:p>
    <w:p w14:paraId="7D3E1FEA" w14:textId="77777777" w:rsidR="00D33970" w:rsidRDefault="00D33970" w:rsidP="00D33970">
      <w:pPr>
        <w:spacing w:after="20" w:line="259" w:lineRule="auto"/>
        <w:rPr>
          <w:rFonts w:asciiTheme="minorHAnsi" w:hAnsiTheme="minorHAnsi" w:cstheme="minorHAnsi"/>
          <w:b/>
        </w:rPr>
      </w:pPr>
    </w:p>
    <w:p w14:paraId="42CA4100" w14:textId="3EFFFA9D" w:rsidR="00D33970" w:rsidRDefault="00D33970" w:rsidP="00D33970">
      <w:pPr>
        <w:spacing w:after="20" w:line="259" w:lineRule="auto"/>
      </w:pPr>
      <w:r>
        <w:rPr>
          <w:rFonts w:asciiTheme="minorHAnsi" w:hAnsiTheme="minorHAnsi" w:cstheme="minorHAnsi"/>
          <w:b/>
        </w:rPr>
        <w:t xml:space="preserve">Corresponding author: </w:t>
      </w:r>
      <w:proofErr w:type="spellStart"/>
      <w:r>
        <w:rPr>
          <w:rFonts w:asciiTheme="minorHAnsi" w:hAnsiTheme="minorHAnsi" w:cstheme="minorHAnsi"/>
        </w:rPr>
        <w:t>Sumia</w:t>
      </w:r>
      <w:proofErr w:type="spellEnd"/>
      <w:r>
        <w:rPr>
          <w:rFonts w:asciiTheme="minorHAnsi" w:hAnsiTheme="minorHAnsi" w:cstheme="minorHAnsi"/>
        </w:rPr>
        <w:t xml:space="preserve"> Fatima, MBBS</w:t>
      </w:r>
    </w:p>
    <w:p w14:paraId="642C6F0B" w14:textId="77777777" w:rsidR="00D33970" w:rsidRDefault="00D33970" w:rsidP="00D33970">
      <w:pPr>
        <w:spacing w:after="20" w:line="259" w:lineRule="auto"/>
      </w:pPr>
      <w:r>
        <w:rPr>
          <w:rFonts w:asciiTheme="minorHAnsi" w:hAnsiTheme="minorHAnsi" w:cstheme="minorHAnsi"/>
        </w:rPr>
        <w:t>Rawalpindi Medical University, Rawalpindi, Pakistan</w:t>
      </w:r>
    </w:p>
    <w:p w14:paraId="17ACF53B" w14:textId="77777777" w:rsidR="00D33970" w:rsidRDefault="00D33970" w:rsidP="00D33970">
      <w:pPr>
        <w:spacing w:after="20" w:line="259" w:lineRule="auto"/>
      </w:pPr>
      <w:r>
        <w:rPr>
          <w:rFonts w:asciiTheme="minorHAnsi" w:hAnsiTheme="minorHAnsi" w:cstheme="minorHAnsi"/>
        </w:rPr>
        <w:t>Email: sumiahfatima3@gmail.com</w:t>
      </w:r>
    </w:p>
    <w:p w14:paraId="6148920D" w14:textId="77777777" w:rsidR="00D33970" w:rsidRDefault="00D33970" w:rsidP="00D33970">
      <w:pPr>
        <w:spacing w:after="120" w:line="259" w:lineRule="auto"/>
      </w:pPr>
      <w:r>
        <w:rPr>
          <w:rFonts w:asciiTheme="minorHAnsi" w:hAnsiTheme="minorHAnsi" w:cstheme="minorHAnsi"/>
        </w:rPr>
        <w:t>ORCID: 0000-0002-5450-4787</w:t>
      </w:r>
    </w:p>
    <w:p w14:paraId="3679B2A1" w14:textId="77777777" w:rsidR="00D33970" w:rsidRDefault="00D33970" w:rsidP="00D33970">
      <w:pPr>
        <w:spacing w:after="20" w:line="259" w:lineRule="auto"/>
        <w:rPr>
          <w:rFonts w:asciiTheme="minorHAnsi" w:hAnsiTheme="minorHAnsi" w:cstheme="minorHAnsi"/>
          <w:b/>
        </w:rPr>
      </w:pPr>
    </w:p>
    <w:p w14:paraId="3817F0B6" w14:textId="70E8A157" w:rsidR="00D33970" w:rsidRDefault="00D33970" w:rsidP="00D33970">
      <w:pPr>
        <w:spacing w:after="20" w:line="259" w:lineRule="auto"/>
      </w:pPr>
      <w:r>
        <w:rPr>
          <w:rFonts w:asciiTheme="minorHAnsi" w:hAnsiTheme="minorHAnsi" w:cstheme="minorHAnsi"/>
          <w:b/>
        </w:rPr>
        <w:t>Author ORCIDs</w:t>
      </w:r>
    </w:p>
    <w:p w14:paraId="097A56DA" w14:textId="3F1A43C3" w:rsidR="00D33970" w:rsidRDefault="00D33970" w:rsidP="00D33970">
      <w:pPr>
        <w:spacing w:after="20" w:line="259" w:lineRule="auto"/>
      </w:pPr>
      <w:r>
        <w:rPr>
          <w:rFonts w:asciiTheme="minorHAnsi" w:hAnsiTheme="minorHAnsi" w:cstheme="minorHAnsi"/>
        </w:rPr>
        <w:t xml:space="preserve">David </w:t>
      </w:r>
      <w:proofErr w:type="spellStart"/>
      <w:r>
        <w:rPr>
          <w:rFonts w:asciiTheme="minorHAnsi" w:hAnsiTheme="minorHAnsi" w:cstheme="minorHAnsi"/>
        </w:rPr>
        <w:t>Woode</w:t>
      </w:r>
      <w:proofErr w:type="spellEnd"/>
      <w:r>
        <w:rPr>
          <w:rFonts w:asciiTheme="minorHAnsi" w:hAnsiTheme="minorHAnsi" w:cstheme="minorHAnsi"/>
        </w:rPr>
        <w:t>: 0009-0002-3592-1865</w:t>
      </w:r>
      <w:r w:rsidR="004A24C6">
        <w:rPr>
          <w:rFonts w:asciiTheme="minorHAnsi" w:hAnsiTheme="minorHAnsi" w:cstheme="minorHAnsi"/>
        </w:rPr>
        <w:t xml:space="preserve"> </w:t>
      </w:r>
    </w:p>
    <w:p w14:paraId="3562AFC7" w14:textId="2FB50E05" w:rsidR="00D33970" w:rsidRDefault="00D33970" w:rsidP="00D33970">
      <w:pPr>
        <w:spacing w:after="20" w:line="259" w:lineRule="auto"/>
      </w:pPr>
      <w:proofErr w:type="spellStart"/>
      <w:r>
        <w:rPr>
          <w:rFonts w:asciiTheme="minorHAnsi" w:hAnsiTheme="minorHAnsi" w:cstheme="minorHAnsi"/>
        </w:rPr>
        <w:t>Khansa</w:t>
      </w:r>
      <w:proofErr w:type="spellEnd"/>
      <w:r>
        <w:rPr>
          <w:rFonts w:asciiTheme="minorHAnsi" w:hAnsiTheme="minorHAnsi" w:cstheme="minorHAnsi"/>
        </w:rPr>
        <w:t xml:space="preserve"> Faysal </w:t>
      </w:r>
      <w:proofErr w:type="spellStart"/>
      <w:r>
        <w:rPr>
          <w:rFonts w:asciiTheme="minorHAnsi" w:hAnsiTheme="minorHAnsi" w:cstheme="minorHAnsi"/>
        </w:rPr>
        <w:t>Faridi</w:t>
      </w:r>
      <w:proofErr w:type="spellEnd"/>
      <w:r>
        <w:rPr>
          <w:rFonts w:asciiTheme="minorHAnsi" w:hAnsiTheme="minorHAnsi" w:cstheme="minorHAnsi"/>
        </w:rPr>
        <w:t>: 0009-0000-0383-7963</w:t>
      </w:r>
    </w:p>
    <w:p w14:paraId="25FE432E" w14:textId="059731D4" w:rsidR="00D33970" w:rsidRDefault="00D33970" w:rsidP="00D33970">
      <w:pPr>
        <w:spacing w:after="20" w:line="259" w:lineRule="auto"/>
      </w:pPr>
      <w:r>
        <w:rPr>
          <w:rFonts w:asciiTheme="minorHAnsi" w:hAnsiTheme="minorHAnsi" w:cstheme="minorHAnsi"/>
        </w:rPr>
        <w:t>Adan Farrukh: 0009-0009-1318-8958</w:t>
      </w:r>
    </w:p>
    <w:p w14:paraId="2664060B" w14:textId="11414800" w:rsidR="00D33970" w:rsidRDefault="00D33970" w:rsidP="00D33970">
      <w:pPr>
        <w:spacing w:after="20" w:line="259" w:lineRule="auto"/>
      </w:pPr>
      <w:r>
        <w:rPr>
          <w:rFonts w:asciiTheme="minorHAnsi" w:hAnsiTheme="minorHAnsi" w:cstheme="minorHAnsi"/>
        </w:rPr>
        <w:t>Qadr Amir: 0009-0004-1480-6387</w:t>
      </w:r>
    </w:p>
    <w:p w14:paraId="66488EAA" w14:textId="0EF0C690" w:rsidR="00D33970" w:rsidRDefault="00D33970" w:rsidP="00D33970">
      <w:pPr>
        <w:spacing w:after="20" w:line="259" w:lineRule="auto"/>
      </w:pPr>
      <w:r>
        <w:rPr>
          <w:rFonts w:asciiTheme="minorHAnsi" w:hAnsiTheme="minorHAnsi" w:cstheme="minorHAnsi"/>
        </w:rPr>
        <w:t>Mariam Mukhtar: 0009-0002-2920-5619</w:t>
      </w:r>
    </w:p>
    <w:p w14:paraId="0895F238" w14:textId="69D02DE4" w:rsidR="00D33970" w:rsidRDefault="00D33970" w:rsidP="00D33970">
      <w:pPr>
        <w:spacing w:after="20" w:line="259" w:lineRule="auto"/>
      </w:pPr>
      <w:r>
        <w:rPr>
          <w:rFonts w:asciiTheme="minorHAnsi" w:hAnsiTheme="minorHAnsi" w:cstheme="minorHAnsi"/>
        </w:rPr>
        <w:t xml:space="preserve">Muhammad </w:t>
      </w:r>
      <w:proofErr w:type="spellStart"/>
      <w:r>
        <w:rPr>
          <w:rFonts w:asciiTheme="minorHAnsi" w:hAnsiTheme="minorHAnsi" w:cstheme="minorHAnsi"/>
        </w:rPr>
        <w:t>Awais</w:t>
      </w:r>
      <w:proofErr w:type="spellEnd"/>
      <w:r>
        <w:rPr>
          <w:rFonts w:asciiTheme="minorHAnsi" w:hAnsiTheme="minorHAnsi" w:cstheme="minorHAnsi"/>
        </w:rPr>
        <w:t>: 0009-0005-7980-4996</w:t>
      </w:r>
    </w:p>
    <w:p w14:paraId="7B79F561" w14:textId="7989FB34" w:rsidR="00D33970" w:rsidRDefault="00D33970" w:rsidP="00D33970">
      <w:pPr>
        <w:spacing w:after="20" w:line="259" w:lineRule="auto"/>
      </w:pPr>
      <w:r>
        <w:rPr>
          <w:rFonts w:asciiTheme="minorHAnsi" w:hAnsiTheme="minorHAnsi" w:cstheme="minorHAnsi"/>
        </w:rPr>
        <w:t>M. Wajahat Irshad: 0009-0002-2783-3064</w:t>
      </w:r>
    </w:p>
    <w:p w14:paraId="10C77C6F" w14:textId="0F50C01F" w:rsidR="00D33970" w:rsidRDefault="00D33970" w:rsidP="00D33970">
      <w:pPr>
        <w:spacing w:after="20" w:line="259" w:lineRule="auto"/>
      </w:pPr>
      <w:proofErr w:type="spellStart"/>
      <w:r>
        <w:rPr>
          <w:rFonts w:asciiTheme="minorHAnsi" w:hAnsiTheme="minorHAnsi" w:cstheme="minorHAnsi"/>
        </w:rPr>
        <w:t>Romesa</w:t>
      </w:r>
      <w:proofErr w:type="spellEnd"/>
      <w:r>
        <w:rPr>
          <w:rFonts w:asciiTheme="minorHAnsi" w:hAnsiTheme="minorHAnsi" w:cstheme="minorHAnsi"/>
        </w:rPr>
        <w:t xml:space="preserve"> Saqib: 0009-0001-6945-6538</w:t>
      </w:r>
    </w:p>
    <w:p w14:paraId="4FFD5AE8" w14:textId="1F11F781" w:rsidR="00D33970" w:rsidRDefault="00D33970" w:rsidP="00D33970">
      <w:pPr>
        <w:spacing w:after="20" w:line="259" w:lineRule="auto"/>
        <w:rPr>
          <w:rFonts w:asciiTheme="minorHAnsi" w:hAnsiTheme="minorHAnsi" w:cstheme="minorHAnsi"/>
        </w:rPr>
      </w:pPr>
      <w:r>
        <w:rPr>
          <w:rFonts w:asciiTheme="minorHAnsi" w:hAnsiTheme="minorHAnsi" w:cstheme="minorHAnsi"/>
        </w:rPr>
        <w:t>Farouk Hijazi: 0009-0000-8652-9180</w:t>
      </w:r>
    </w:p>
    <w:p w14:paraId="540CD878" w14:textId="42408B95" w:rsidR="004A24C6" w:rsidRDefault="004A24C6" w:rsidP="00D33970">
      <w:pPr>
        <w:spacing w:after="20" w:line="259" w:lineRule="auto"/>
      </w:pPr>
      <w:r>
        <w:rPr>
          <w:rFonts w:asciiTheme="minorHAnsi" w:hAnsiTheme="minorHAnsi" w:cstheme="minorHAnsi"/>
        </w:rPr>
        <w:t xml:space="preserve">Maryam Sikandar: </w:t>
      </w:r>
      <w:r w:rsidRPr="004A24C6">
        <w:rPr>
          <w:rFonts w:asciiTheme="minorHAnsi" w:hAnsiTheme="minorHAnsi" w:cstheme="minorHAnsi"/>
        </w:rPr>
        <w:t>0009-0007-0459-5506</w:t>
      </w:r>
    </w:p>
    <w:p w14:paraId="4595530B" w14:textId="6D238519" w:rsidR="00D33970" w:rsidRDefault="00D33970" w:rsidP="00D33970">
      <w:pPr>
        <w:spacing w:after="20" w:line="259" w:lineRule="auto"/>
      </w:pPr>
      <w:proofErr w:type="spellStart"/>
      <w:r>
        <w:rPr>
          <w:rFonts w:asciiTheme="minorHAnsi" w:hAnsiTheme="minorHAnsi" w:cstheme="minorHAnsi"/>
        </w:rPr>
        <w:t>Sumia</w:t>
      </w:r>
      <w:proofErr w:type="spellEnd"/>
      <w:r>
        <w:rPr>
          <w:rFonts w:asciiTheme="minorHAnsi" w:hAnsiTheme="minorHAnsi" w:cstheme="minorHAnsi"/>
        </w:rPr>
        <w:t xml:space="preserve"> Fatima, MBBS: 0000-0002-5450-4787</w:t>
      </w:r>
    </w:p>
    <w:p w14:paraId="6A126976" w14:textId="77777777" w:rsidR="00D33970" w:rsidRDefault="00D33970" w:rsidP="00D33970">
      <w:pPr>
        <w:spacing w:after="120" w:line="480" w:lineRule="auto"/>
        <w:rPr>
          <w:rFonts w:asciiTheme="minorHAnsi" w:hAnsiTheme="minorHAnsi" w:cstheme="minorHAnsi"/>
          <w:b/>
          <w:bCs/>
        </w:rPr>
      </w:pPr>
    </w:p>
    <w:p w14:paraId="548BEF9B" w14:textId="7C93B6BA" w:rsidR="004A24C6" w:rsidRDefault="004A24C6" w:rsidP="00D33970">
      <w:pPr>
        <w:spacing w:after="120" w:line="480" w:lineRule="auto"/>
        <w:rPr>
          <w:rFonts w:asciiTheme="minorHAnsi" w:hAnsiTheme="minorHAnsi" w:cstheme="minorHAnsi"/>
          <w:b/>
          <w:bCs/>
        </w:rPr>
      </w:pPr>
      <w:r>
        <w:rPr>
          <w:rFonts w:asciiTheme="minorHAnsi" w:hAnsiTheme="minorHAnsi" w:cstheme="minorHAnsi"/>
          <w:b/>
        </w:rPr>
        <w:lastRenderedPageBreak/>
        <w:t xml:space="preserve">Author Emails: </w:t>
      </w:r>
    </w:p>
    <w:p w14:paraId="03D633D1" w14:textId="708406FB" w:rsidR="004A24C6" w:rsidRDefault="004A24C6" w:rsidP="004A24C6">
      <w:pPr>
        <w:spacing w:after="20" w:line="259" w:lineRule="auto"/>
      </w:pPr>
      <w:r>
        <w:rPr>
          <w:rFonts w:asciiTheme="minorHAnsi" w:hAnsiTheme="minorHAnsi" w:cstheme="minorHAnsi"/>
        </w:rPr>
        <w:t xml:space="preserve">David </w:t>
      </w:r>
      <w:proofErr w:type="spellStart"/>
      <w:r>
        <w:rPr>
          <w:rFonts w:asciiTheme="minorHAnsi" w:hAnsiTheme="minorHAnsi" w:cstheme="minorHAnsi"/>
        </w:rPr>
        <w:t>Woode</w:t>
      </w:r>
      <w:proofErr w:type="spellEnd"/>
      <w:r>
        <w:rPr>
          <w:rFonts w:asciiTheme="minorHAnsi" w:hAnsiTheme="minorHAnsi" w:cstheme="minorHAnsi"/>
        </w:rPr>
        <w:t xml:space="preserve">: </w:t>
      </w:r>
      <w:r w:rsidRPr="004A24C6">
        <w:rPr>
          <w:rFonts w:asciiTheme="minorHAnsi" w:hAnsiTheme="minorHAnsi" w:cstheme="minorHAnsi"/>
        </w:rPr>
        <w:t>David@meditorsolutions.com</w:t>
      </w:r>
    </w:p>
    <w:p w14:paraId="4B8E8CED" w14:textId="607D18AB" w:rsidR="004A24C6" w:rsidRDefault="004A24C6" w:rsidP="004A24C6">
      <w:pPr>
        <w:spacing w:after="20" w:line="259" w:lineRule="auto"/>
      </w:pPr>
      <w:proofErr w:type="spellStart"/>
      <w:r>
        <w:rPr>
          <w:rFonts w:asciiTheme="minorHAnsi" w:hAnsiTheme="minorHAnsi" w:cstheme="minorHAnsi"/>
        </w:rPr>
        <w:t>Khansa</w:t>
      </w:r>
      <w:proofErr w:type="spellEnd"/>
      <w:r>
        <w:rPr>
          <w:rFonts w:asciiTheme="minorHAnsi" w:hAnsiTheme="minorHAnsi" w:cstheme="minorHAnsi"/>
        </w:rPr>
        <w:t xml:space="preserve"> Faysal </w:t>
      </w:r>
      <w:proofErr w:type="spellStart"/>
      <w:r>
        <w:rPr>
          <w:rFonts w:asciiTheme="minorHAnsi" w:hAnsiTheme="minorHAnsi" w:cstheme="minorHAnsi"/>
        </w:rPr>
        <w:t>Faridi</w:t>
      </w:r>
      <w:proofErr w:type="spellEnd"/>
      <w:r>
        <w:rPr>
          <w:rFonts w:asciiTheme="minorHAnsi" w:hAnsiTheme="minorHAnsi" w:cstheme="minorHAnsi"/>
        </w:rPr>
        <w:t>: K</w:t>
      </w:r>
      <w:r w:rsidRPr="004A24C6">
        <w:rPr>
          <w:rFonts w:asciiTheme="minorHAnsi" w:hAnsiTheme="minorHAnsi" w:cstheme="minorHAnsi"/>
        </w:rPr>
        <w:t>hansafaysalfaridi@gmail.com</w:t>
      </w:r>
    </w:p>
    <w:p w14:paraId="36C13C2F" w14:textId="3CDECCB5" w:rsidR="004A24C6" w:rsidRDefault="004A24C6" w:rsidP="004A24C6">
      <w:pPr>
        <w:spacing w:after="20" w:line="259" w:lineRule="auto"/>
      </w:pPr>
      <w:r>
        <w:rPr>
          <w:rFonts w:asciiTheme="minorHAnsi" w:hAnsiTheme="minorHAnsi" w:cstheme="minorHAnsi"/>
        </w:rPr>
        <w:t>Adan Farrukh: A</w:t>
      </w:r>
      <w:r w:rsidRPr="004A24C6">
        <w:rPr>
          <w:rFonts w:asciiTheme="minorHAnsi" w:hAnsiTheme="minorHAnsi" w:cstheme="minorHAnsi"/>
        </w:rPr>
        <w:t>danfarrukh2@gmail.com</w:t>
      </w:r>
    </w:p>
    <w:p w14:paraId="2E2EB9FB" w14:textId="35685B04" w:rsidR="004A24C6" w:rsidRDefault="004A24C6" w:rsidP="004A24C6">
      <w:pPr>
        <w:spacing w:after="20" w:line="259" w:lineRule="auto"/>
      </w:pPr>
      <w:r>
        <w:rPr>
          <w:rFonts w:asciiTheme="minorHAnsi" w:hAnsiTheme="minorHAnsi" w:cstheme="minorHAnsi"/>
        </w:rPr>
        <w:t>Qadr Amir: Q</w:t>
      </w:r>
      <w:r w:rsidRPr="004A24C6">
        <w:rPr>
          <w:rFonts w:asciiTheme="minorHAnsi" w:hAnsiTheme="minorHAnsi" w:cstheme="minorHAnsi"/>
        </w:rPr>
        <w:t>adr.amir@gmail.com</w:t>
      </w:r>
    </w:p>
    <w:p w14:paraId="51A1A308" w14:textId="128D3187" w:rsidR="004A24C6" w:rsidRDefault="004A24C6" w:rsidP="004A24C6">
      <w:pPr>
        <w:spacing w:after="20" w:line="259" w:lineRule="auto"/>
      </w:pPr>
      <w:r>
        <w:rPr>
          <w:rFonts w:asciiTheme="minorHAnsi" w:hAnsiTheme="minorHAnsi" w:cstheme="minorHAnsi"/>
        </w:rPr>
        <w:t>Mariam Mukhtar: M</w:t>
      </w:r>
      <w:r w:rsidRPr="004A24C6">
        <w:rPr>
          <w:rFonts w:asciiTheme="minorHAnsi" w:hAnsiTheme="minorHAnsi" w:cstheme="minorHAnsi"/>
        </w:rPr>
        <w:t>ariammukhtar520@gmail.com</w:t>
      </w:r>
    </w:p>
    <w:p w14:paraId="40F8435F" w14:textId="72DD2C29" w:rsidR="004A24C6" w:rsidRDefault="004A24C6" w:rsidP="004A24C6">
      <w:pPr>
        <w:spacing w:after="20" w:line="259" w:lineRule="auto"/>
      </w:pPr>
      <w:r>
        <w:rPr>
          <w:rFonts w:asciiTheme="minorHAnsi" w:hAnsiTheme="minorHAnsi" w:cstheme="minorHAnsi"/>
        </w:rPr>
        <w:t xml:space="preserve">Muhammad </w:t>
      </w:r>
      <w:proofErr w:type="spellStart"/>
      <w:r>
        <w:rPr>
          <w:rFonts w:asciiTheme="minorHAnsi" w:hAnsiTheme="minorHAnsi" w:cstheme="minorHAnsi"/>
        </w:rPr>
        <w:t>Awais</w:t>
      </w:r>
      <w:proofErr w:type="spellEnd"/>
      <w:r>
        <w:rPr>
          <w:rFonts w:asciiTheme="minorHAnsi" w:hAnsiTheme="minorHAnsi" w:cstheme="minorHAnsi"/>
        </w:rPr>
        <w:t>: G</w:t>
      </w:r>
      <w:r w:rsidRPr="004A24C6">
        <w:rPr>
          <w:rFonts w:asciiTheme="minorHAnsi" w:hAnsiTheme="minorHAnsi" w:cstheme="minorHAnsi"/>
        </w:rPr>
        <w:t>odfreyofballion1187@gmail.com</w:t>
      </w:r>
    </w:p>
    <w:p w14:paraId="0F3D68B5" w14:textId="279A8A2B" w:rsidR="004A24C6" w:rsidRDefault="004A24C6" w:rsidP="004A24C6">
      <w:pPr>
        <w:spacing w:after="20" w:line="259" w:lineRule="auto"/>
      </w:pPr>
      <w:r>
        <w:rPr>
          <w:rFonts w:asciiTheme="minorHAnsi" w:hAnsiTheme="minorHAnsi" w:cstheme="minorHAnsi"/>
        </w:rPr>
        <w:t>M. Wajahat Irshad: S</w:t>
      </w:r>
      <w:r w:rsidRPr="004A24C6">
        <w:rPr>
          <w:rFonts w:asciiTheme="minorHAnsi" w:hAnsiTheme="minorHAnsi" w:cstheme="minorHAnsi"/>
        </w:rPr>
        <w:t>ukherawajahat@gmail.com</w:t>
      </w:r>
    </w:p>
    <w:p w14:paraId="41E6AF63" w14:textId="0E33D59C" w:rsidR="004A24C6" w:rsidRDefault="004A24C6" w:rsidP="004A24C6">
      <w:pPr>
        <w:spacing w:after="20" w:line="259" w:lineRule="auto"/>
      </w:pPr>
      <w:proofErr w:type="spellStart"/>
      <w:r>
        <w:rPr>
          <w:rFonts w:asciiTheme="minorHAnsi" w:hAnsiTheme="minorHAnsi" w:cstheme="minorHAnsi"/>
        </w:rPr>
        <w:t>Romesa</w:t>
      </w:r>
      <w:proofErr w:type="spellEnd"/>
      <w:r>
        <w:rPr>
          <w:rFonts w:asciiTheme="minorHAnsi" w:hAnsiTheme="minorHAnsi" w:cstheme="minorHAnsi"/>
        </w:rPr>
        <w:t xml:space="preserve"> Saqib: T</w:t>
      </w:r>
      <w:r w:rsidRPr="004A24C6">
        <w:rPr>
          <w:rFonts w:asciiTheme="minorHAnsi" w:hAnsiTheme="minorHAnsi" w:cstheme="minorHAnsi"/>
        </w:rPr>
        <w:t>heromesasaqib@gmail.com</w:t>
      </w:r>
    </w:p>
    <w:p w14:paraId="49E33551" w14:textId="36DA8D31" w:rsidR="004A24C6" w:rsidRDefault="004A24C6" w:rsidP="004A24C6">
      <w:pPr>
        <w:spacing w:after="20" w:line="259" w:lineRule="auto"/>
        <w:rPr>
          <w:rFonts w:asciiTheme="minorHAnsi" w:hAnsiTheme="minorHAnsi" w:cstheme="minorHAnsi"/>
        </w:rPr>
      </w:pPr>
      <w:r>
        <w:rPr>
          <w:rFonts w:asciiTheme="minorHAnsi" w:hAnsiTheme="minorHAnsi" w:cstheme="minorHAnsi"/>
        </w:rPr>
        <w:t>Farouk Hijazi: F</w:t>
      </w:r>
      <w:r w:rsidRPr="004A24C6">
        <w:rPr>
          <w:rFonts w:asciiTheme="minorHAnsi" w:hAnsiTheme="minorHAnsi" w:cstheme="minorHAnsi"/>
        </w:rPr>
        <w:t>aroukraed123@gmail.com</w:t>
      </w:r>
    </w:p>
    <w:p w14:paraId="2C8141CA" w14:textId="00F796F2" w:rsidR="004A24C6" w:rsidRDefault="004A24C6" w:rsidP="004A24C6">
      <w:pPr>
        <w:spacing w:after="20" w:line="259" w:lineRule="auto"/>
      </w:pPr>
      <w:r>
        <w:rPr>
          <w:rFonts w:asciiTheme="minorHAnsi" w:hAnsiTheme="minorHAnsi" w:cstheme="minorHAnsi"/>
        </w:rPr>
        <w:t>Maryam Sikandar: M</w:t>
      </w:r>
      <w:r w:rsidRPr="004A24C6">
        <w:rPr>
          <w:rFonts w:asciiTheme="minorHAnsi" w:hAnsiTheme="minorHAnsi" w:cstheme="minorHAnsi"/>
        </w:rPr>
        <w:t>aryamsikandar580@gmail.com</w:t>
      </w:r>
    </w:p>
    <w:p w14:paraId="59393C96" w14:textId="118DD1AE" w:rsidR="004A24C6" w:rsidRDefault="004A24C6" w:rsidP="004A24C6">
      <w:pPr>
        <w:spacing w:after="20" w:line="259" w:lineRule="auto"/>
      </w:pPr>
      <w:proofErr w:type="spellStart"/>
      <w:r>
        <w:rPr>
          <w:rFonts w:asciiTheme="minorHAnsi" w:hAnsiTheme="minorHAnsi" w:cstheme="minorHAnsi"/>
        </w:rPr>
        <w:t>Sumia</w:t>
      </w:r>
      <w:proofErr w:type="spellEnd"/>
      <w:r>
        <w:rPr>
          <w:rFonts w:asciiTheme="minorHAnsi" w:hAnsiTheme="minorHAnsi" w:cstheme="minorHAnsi"/>
        </w:rPr>
        <w:t xml:space="preserve"> Fatima: </w:t>
      </w:r>
      <w:r w:rsidRPr="00B83107">
        <w:rPr>
          <w:rFonts w:asciiTheme="minorHAnsi" w:hAnsiTheme="minorHAnsi" w:cstheme="minorHAnsi"/>
        </w:rPr>
        <w:t>Sumiahfatima3@gmail.com</w:t>
      </w:r>
    </w:p>
    <w:p w14:paraId="16EDDDF9" w14:textId="77777777" w:rsidR="004A24C6" w:rsidRPr="004A24C6" w:rsidRDefault="004A24C6" w:rsidP="004A24C6">
      <w:pPr>
        <w:spacing w:after="20" w:line="259" w:lineRule="auto"/>
      </w:pPr>
    </w:p>
    <w:p w14:paraId="631279F3" w14:textId="71B8CA63" w:rsidR="00D33970" w:rsidRPr="00FA5F69" w:rsidRDefault="00D33970" w:rsidP="00D33970">
      <w:pPr>
        <w:spacing w:after="120" w:line="480" w:lineRule="auto"/>
        <w:rPr>
          <w:rFonts w:asciiTheme="minorHAnsi" w:hAnsiTheme="minorHAnsi" w:cstheme="minorHAnsi"/>
        </w:rPr>
      </w:pPr>
      <w:r>
        <w:rPr>
          <w:rFonts w:asciiTheme="minorHAnsi" w:hAnsiTheme="minorHAnsi" w:cstheme="minorHAnsi"/>
          <w:b/>
          <w:bCs/>
        </w:rPr>
        <w:t>Funding:</w:t>
      </w:r>
      <w:r>
        <w:rPr>
          <w:rFonts w:asciiTheme="minorHAnsi" w:hAnsiTheme="minorHAnsi" w:cstheme="minorHAnsi"/>
        </w:rPr>
        <w:t xml:space="preserve"> None.</w:t>
      </w:r>
    </w:p>
    <w:p w14:paraId="56DD3C1D" w14:textId="77777777" w:rsidR="00D33970" w:rsidRPr="00FA5F69" w:rsidRDefault="00D33970" w:rsidP="00D33970">
      <w:pPr>
        <w:spacing w:after="120" w:line="480" w:lineRule="auto"/>
        <w:rPr>
          <w:rFonts w:asciiTheme="minorHAnsi" w:hAnsiTheme="minorHAnsi" w:cstheme="minorHAnsi"/>
        </w:rPr>
      </w:pPr>
      <w:r>
        <w:rPr>
          <w:rFonts w:asciiTheme="minorHAnsi" w:hAnsiTheme="minorHAnsi" w:cstheme="minorHAnsi"/>
          <w:b/>
          <w:bCs/>
        </w:rPr>
        <w:t>Conflicts of interest:</w:t>
      </w:r>
      <w:r>
        <w:rPr>
          <w:rFonts w:asciiTheme="minorHAnsi" w:hAnsiTheme="minorHAnsi" w:cstheme="minorHAnsi"/>
        </w:rPr>
        <w:t xml:space="preserve">  The authors declare no conflicts of interest.</w:t>
      </w:r>
    </w:p>
    <w:p w14:paraId="00580067" w14:textId="77777777" w:rsidR="00D33970" w:rsidRPr="00FA5F69" w:rsidRDefault="00D33970" w:rsidP="00D33970">
      <w:pPr>
        <w:spacing w:after="120" w:line="480" w:lineRule="auto"/>
        <w:rPr>
          <w:rFonts w:asciiTheme="minorHAnsi" w:hAnsiTheme="minorHAnsi" w:cstheme="minorHAnsi"/>
        </w:rPr>
      </w:pPr>
      <w:r>
        <w:rPr>
          <w:rFonts w:asciiTheme="minorHAnsi" w:hAnsiTheme="minorHAnsi" w:cstheme="minorHAnsi"/>
          <w:b/>
          <w:bCs/>
        </w:rPr>
        <w:t>PROSPERO registration</w:t>
      </w:r>
      <w:r>
        <w:rPr>
          <w:rFonts w:asciiTheme="minorHAnsi" w:hAnsiTheme="minorHAnsi" w:cstheme="minorHAnsi"/>
        </w:rPr>
        <w:t>: CRD420261467713</w:t>
      </w:r>
    </w:p>
    <w:p w14:paraId="4B14170E" w14:textId="77777777" w:rsidR="00D33970" w:rsidRDefault="00D33970" w:rsidP="00D33970">
      <w:pPr>
        <w:rPr>
          <w:rFonts w:asciiTheme="minorHAnsi" w:hAnsiTheme="minorHAnsi" w:cstheme="minorHAnsi"/>
        </w:rPr>
      </w:pPr>
      <w:r>
        <w:rPr>
          <w:rFonts w:asciiTheme="minorHAnsi" w:hAnsiTheme="minorHAnsi" w:cstheme="minorHAnsi"/>
          <w:b/>
          <w:bCs/>
        </w:rPr>
        <w:t xml:space="preserve">Keywords: </w:t>
      </w:r>
      <w:r>
        <w:rPr>
          <w:rFonts w:asciiTheme="minorHAnsi" w:hAnsiTheme="minorHAnsi" w:cstheme="minorHAnsi"/>
        </w:rPr>
        <w:t xml:space="preserve"> </w:t>
      </w:r>
      <w:proofErr w:type="spellStart"/>
      <w:r>
        <w:rPr>
          <w:rFonts w:asciiTheme="minorHAnsi" w:hAnsiTheme="minorHAnsi" w:cstheme="minorHAnsi"/>
        </w:rPr>
        <w:t>Levosimendan</w:t>
      </w:r>
      <w:proofErr w:type="spellEnd"/>
      <w:r>
        <w:rPr>
          <w:rFonts w:asciiTheme="minorHAnsi" w:hAnsiTheme="minorHAnsi" w:cstheme="minorHAnsi"/>
        </w:rPr>
        <w:t>; extracorporeal membrane oxygenation; VA-ECMO; cardiogenic shock; weaning; mechanical circulatory support; inotropic agents; systematic review; meta-analysis.</w:t>
      </w:r>
    </w:p>
    <w:p w14:paraId="03CD3D60" w14:textId="77777777" w:rsidR="00D0055C" w:rsidRDefault="00D0055C" w:rsidP="00D33970">
      <w:pPr>
        <w:rPr>
          <w:rFonts w:asciiTheme="minorHAnsi" w:hAnsiTheme="minorHAnsi" w:cstheme="minorHAnsi"/>
        </w:rPr>
      </w:pPr>
    </w:p>
    <w:p w14:paraId="7BCB2F3D" w14:textId="7F994976" w:rsidR="00D0055C" w:rsidRPr="00D0055C" w:rsidRDefault="00D0055C" w:rsidP="00D33970">
      <w:pPr>
        <w:rPr>
          <w:rFonts w:asciiTheme="minorHAnsi" w:hAnsiTheme="minorHAnsi" w:cstheme="minorHAnsi"/>
        </w:rPr>
      </w:pPr>
      <w:r w:rsidRPr="00D0055C">
        <w:rPr>
          <w:rFonts w:asciiTheme="minorHAnsi" w:hAnsiTheme="minorHAnsi" w:cstheme="minorHAnsi"/>
          <w:b/>
          <w:bCs/>
        </w:rPr>
        <w:t>Author contributions.</w:t>
      </w:r>
      <w:r w:rsidRPr="00D0055C">
        <w:rPr>
          <w:rFonts w:asciiTheme="minorHAnsi" w:hAnsiTheme="minorHAnsi" w:cstheme="minorHAnsi"/>
        </w:rPr>
        <w:t xml:space="preserve"> Conception and design of the review and development of the search strategy: D.W. Study screening and selection: D.W., K.F.F., Q.A., M.W.I., M.A., R.S. Final decisions on study inclusion: D.W. Data extraction and second review: D.W., R.S., Q.A., K.F.F., A.F., M.W.I., M.A. Verification of baseline data: R.S. Statistical analysis and production of forest plots: K.F.F. (primary outcomes), A.F. (primary outcome and subgroup analysis), Q.A. and M.A. (secondary outcomes), M.M. and M.W.I. (secondary outcomes). Risk-of-bias and quality assessment: A.F., M.M. GRADE assessment: K.F.F., Q.A., D.W. Drafting of the manuscript: M.A. (introduction and abstract), R.S. (results and conclusion), Q.A. and A.F. (discussion), K.F.F. (methods). PRISMA diagram: Q.A. PROSPERO registration and duplicate resolution: K.F.F. Project coordination: D.W., F.H. Critical revision and overall editing of the manuscript: D.W. All authors approved the final version and </w:t>
      </w:r>
      <w:proofErr w:type="gramStart"/>
      <w:r w:rsidRPr="00D0055C">
        <w:rPr>
          <w:rFonts w:asciiTheme="minorHAnsi" w:hAnsiTheme="minorHAnsi" w:cstheme="minorHAnsi"/>
        </w:rPr>
        <w:t>agree</w:t>
      </w:r>
      <w:proofErr w:type="gramEnd"/>
      <w:r w:rsidRPr="00D0055C">
        <w:rPr>
          <w:rFonts w:asciiTheme="minorHAnsi" w:hAnsiTheme="minorHAnsi" w:cstheme="minorHAnsi"/>
        </w:rPr>
        <w:t xml:space="preserve"> to be accountable for all aspects of the work.</w:t>
      </w:r>
    </w:p>
    <w:p w14:paraId="61E2AD71" w14:textId="77777777" w:rsidR="00D33970" w:rsidRDefault="00D33970" w:rsidP="00D33970">
      <w:pPr>
        <w:spacing w:after="120" w:line="259" w:lineRule="auto"/>
        <w:rPr>
          <w:rFonts w:asciiTheme="minorHAnsi" w:hAnsiTheme="minorHAnsi" w:cstheme="minorHAnsi"/>
          <w:b/>
        </w:rPr>
      </w:pPr>
    </w:p>
    <w:p w14:paraId="4B4A1DCB" w14:textId="77777777" w:rsidR="004A24C6" w:rsidRDefault="004A24C6" w:rsidP="0016703F">
      <w:pPr>
        <w:rPr>
          <w:rFonts w:asciiTheme="minorHAnsi" w:hAnsiTheme="minorHAnsi" w:cstheme="minorHAnsi"/>
        </w:rPr>
      </w:pPr>
    </w:p>
    <w:p w14:paraId="188C32E5" w14:textId="77777777" w:rsidR="005D7494" w:rsidRDefault="005D7494" w:rsidP="0016703F">
      <w:pPr>
        <w:rPr>
          <w:rFonts w:asciiTheme="minorHAnsi" w:hAnsiTheme="minorHAnsi" w:cstheme="minorHAnsi"/>
          <w:b/>
          <w:bCs/>
          <w:sz w:val="28"/>
          <w:szCs w:val="28"/>
        </w:rPr>
      </w:pPr>
    </w:p>
    <w:p w14:paraId="0B90BF22" w14:textId="77777777" w:rsidR="005D7494" w:rsidRDefault="005D7494" w:rsidP="0016703F">
      <w:pPr>
        <w:rPr>
          <w:rFonts w:asciiTheme="minorHAnsi" w:hAnsiTheme="minorHAnsi" w:cstheme="minorHAnsi"/>
          <w:b/>
          <w:bCs/>
          <w:sz w:val="28"/>
          <w:szCs w:val="28"/>
        </w:rPr>
      </w:pPr>
    </w:p>
    <w:p w14:paraId="475AA656" w14:textId="558933B0" w:rsidR="00C51D41" w:rsidRPr="0016703F" w:rsidRDefault="00C51D41" w:rsidP="0016703F">
      <w:pPr>
        <w:rPr>
          <w:rFonts w:asciiTheme="minorHAnsi" w:hAnsiTheme="minorHAnsi" w:cstheme="minorHAnsi"/>
          <w:b/>
          <w:bCs/>
        </w:rPr>
      </w:pPr>
      <w:r>
        <w:rPr>
          <w:rFonts w:asciiTheme="minorHAnsi" w:hAnsiTheme="minorHAnsi" w:cstheme="minorHAnsi"/>
          <w:b/>
          <w:bCs/>
          <w:sz w:val="28"/>
          <w:szCs w:val="28"/>
        </w:rPr>
        <w:lastRenderedPageBreak/>
        <w:t>Abstract</w:t>
      </w:r>
    </w:p>
    <w:p w14:paraId="3732DA54" w14:textId="77777777" w:rsidR="0016703F" w:rsidRDefault="0016703F" w:rsidP="007C7990">
      <w:pPr>
        <w:pStyle w:val="NormalWeb"/>
        <w:spacing w:before="0" w:beforeAutospacing="0" w:after="160" w:afterAutospacing="0" w:line="360" w:lineRule="auto"/>
        <w:jc w:val="both"/>
        <w:rPr>
          <w:rFonts w:asciiTheme="minorHAnsi" w:hAnsiTheme="minorHAnsi" w:cstheme="minorHAnsi"/>
          <w:b/>
          <w:bCs/>
          <w:color w:val="000000"/>
        </w:rPr>
      </w:pPr>
    </w:p>
    <w:p w14:paraId="0D47820E" w14:textId="68DA2F06" w:rsidR="0019196B" w:rsidRPr="0019196B" w:rsidRDefault="0019196B" w:rsidP="007C7990">
      <w:pPr>
        <w:pStyle w:val="NormalWeb"/>
        <w:spacing w:before="0" w:beforeAutospacing="0" w:after="160" w:afterAutospacing="0" w:line="360" w:lineRule="auto"/>
        <w:jc w:val="both"/>
        <w:rPr>
          <w:rFonts w:asciiTheme="minorHAnsi" w:hAnsiTheme="minorHAnsi" w:cstheme="minorHAnsi"/>
          <w:lang w:val="en-CA"/>
        </w:rPr>
      </w:pPr>
      <w:r w:rsidRPr="0019196B">
        <w:rPr>
          <w:rFonts w:asciiTheme="minorHAnsi" w:hAnsiTheme="minorHAnsi" w:cstheme="minorHAnsi"/>
          <w:b/>
          <w:bCs/>
          <w:lang w:val="en-CA"/>
        </w:rPr>
        <w:t>Background:</w:t>
      </w:r>
      <w:r w:rsidRPr="0019196B">
        <w:rPr>
          <w:rFonts w:asciiTheme="minorHAnsi" w:hAnsiTheme="minorHAnsi" w:cstheme="minorHAnsi"/>
          <w:lang w:val="en-CA"/>
        </w:rPr>
        <w:t xml:space="preserve"> Patients with cardiogenic shock who are supported on </w:t>
      </w:r>
      <w:proofErr w:type="spellStart"/>
      <w:r w:rsidRPr="0019196B">
        <w:rPr>
          <w:rFonts w:asciiTheme="minorHAnsi" w:hAnsiTheme="minorHAnsi" w:cstheme="minorHAnsi"/>
          <w:lang w:val="en-CA"/>
        </w:rPr>
        <w:t>veno</w:t>
      </w:r>
      <w:proofErr w:type="spellEnd"/>
      <w:r w:rsidRPr="0019196B">
        <w:rPr>
          <w:rFonts w:asciiTheme="minorHAnsi" w:hAnsiTheme="minorHAnsi" w:cstheme="minorHAnsi"/>
          <w:lang w:val="en-CA"/>
        </w:rPr>
        <w:t xml:space="preserve">-arterial extracorporeal membrane oxygenation (VA-ECMO) face high mortality, and successful weaning from support is a key determinant of outcome in these patients. </w:t>
      </w:r>
      <w:proofErr w:type="spellStart"/>
      <w:r w:rsidRPr="0019196B">
        <w:rPr>
          <w:rFonts w:asciiTheme="minorHAnsi" w:hAnsiTheme="minorHAnsi" w:cstheme="minorHAnsi"/>
          <w:lang w:val="en-CA"/>
        </w:rPr>
        <w:t>Levosimendan</w:t>
      </w:r>
      <w:proofErr w:type="spellEnd"/>
      <w:r w:rsidRPr="0019196B">
        <w:rPr>
          <w:rFonts w:asciiTheme="minorHAnsi" w:hAnsiTheme="minorHAnsi" w:cstheme="minorHAnsi"/>
          <w:lang w:val="en-CA"/>
        </w:rPr>
        <w:t xml:space="preserve"> is a calcium-sensitizing inotrope with cardioprotective and vasodilatory effects. It has been used widely as an adjunct to promote myocardial recovery and facilitate ECMO weaning. However, the evidence supporting its benefits has become inconsistent as two randomized controlled trials have emerged, LEVOECMO and the WEANILEVO Randomized Double-blind Multicenter Trial.</w:t>
      </w:r>
    </w:p>
    <w:p w14:paraId="3FAD1883" w14:textId="77777777" w:rsidR="0019196B" w:rsidRDefault="0019196B" w:rsidP="007C7990">
      <w:pPr>
        <w:pStyle w:val="NormalWeb"/>
        <w:spacing w:before="0" w:beforeAutospacing="0" w:after="160" w:afterAutospacing="0" w:line="360" w:lineRule="auto"/>
        <w:jc w:val="both"/>
        <w:rPr>
          <w:rFonts w:asciiTheme="minorHAnsi" w:hAnsiTheme="minorHAnsi" w:cstheme="minorHAnsi"/>
          <w:b/>
          <w:bCs/>
          <w:color w:val="000000"/>
          <w:lang w:val="en-CA"/>
        </w:rPr>
      </w:pPr>
      <w:r w:rsidRPr="0019196B">
        <w:rPr>
          <w:rFonts w:asciiTheme="minorHAnsi" w:hAnsiTheme="minorHAnsi" w:cstheme="minorHAnsi"/>
          <w:b/>
          <w:bCs/>
          <w:color w:val="000000"/>
          <w:lang w:val="en-CA"/>
        </w:rPr>
        <w:t xml:space="preserve">Objective: </w:t>
      </w:r>
      <w:r w:rsidRPr="0019196B">
        <w:rPr>
          <w:rFonts w:asciiTheme="minorHAnsi" w:hAnsiTheme="minorHAnsi" w:cstheme="minorHAnsi"/>
          <w:color w:val="000000"/>
          <w:lang w:val="en-CA"/>
        </w:rPr>
        <w:t xml:space="preserve">We aimed to determine whether </w:t>
      </w:r>
      <w:proofErr w:type="spellStart"/>
      <w:r w:rsidRPr="0019196B">
        <w:rPr>
          <w:rFonts w:asciiTheme="minorHAnsi" w:hAnsiTheme="minorHAnsi" w:cstheme="minorHAnsi"/>
          <w:color w:val="000000"/>
          <w:lang w:val="en-CA"/>
        </w:rPr>
        <w:t>levosimendan</w:t>
      </w:r>
      <w:proofErr w:type="spellEnd"/>
      <w:r w:rsidRPr="0019196B">
        <w:rPr>
          <w:rFonts w:asciiTheme="minorHAnsi" w:hAnsiTheme="minorHAnsi" w:cstheme="minorHAnsi"/>
          <w:color w:val="000000"/>
          <w:lang w:val="en-CA"/>
        </w:rPr>
        <w:t>, compared with control, improves all-cause mortality and successful ECMO weaning in adults with cardiogenic shock on VA-ECMO, and to characterize its effects on other clinical outcomes.</w:t>
      </w:r>
    </w:p>
    <w:p w14:paraId="53029E74" w14:textId="5826B2D7" w:rsidR="00C51D41" w:rsidRPr="002C4062" w:rsidRDefault="00C51D41" w:rsidP="007C7990">
      <w:pPr>
        <w:pStyle w:val="NormalWeb"/>
        <w:spacing w:before="0" w:beforeAutospacing="0" w:after="160" w:afterAutospacing="0" w:line="360" w:lineRule="auto"/>
        <w:jc w:val="both"/>
        <w:rPr>
          <w:rFonts w:asciiTheme="minorHAnsi" w:hAnsiTheme="minorHAnsi" w:cstheme="minorHAnsi"/>
        </w:rPr>
      </w:pPr>
      <w:r>
        <w:rPr>
          <w:rFonts w:asciiTheme="minorHAnsi" w:hAnsiTheme="minorHAnsi" w:cstheme="minorHAnsi"/>
          <w:b/>
          <w:bCs/>
          <w:color w:val="000000"/>
        </w:rPr>
        <w:t xml:space="preserve">Methods: </w:t>
      </w:r>
      <w:r w:rsidR="0019196B" w:rsidRPr="0019196B">
        <w:rPr>
          <w:rFonts w:asciiTheme="minorHAnsi" w:hAnsiTheme="minorHAnsi" w:cstheme="minorHAnsi"/>
          <w:color w:val="000000"/>
          <w:lang w:val="en-CA"/>
        </w:rPr>
        <w:t xml:space="preserve">We searched PubMed, Scopus, and ClinicalTrials.gov from July 12, </w:t>
      </w:r>
      <w:proofErr w:type="gramStart"/>
      <w:r w:rsidR="0019196B" w:rsidRPr="0019196B">
        <w:rPr>
          <w:rFonts w:asciiTheme="minorHAnsi" w:hAnsiTheme="minorHAnsi" w:cstheme="minorHAnsi"/>
          <w:color w:val="000000"/>
          <w:lang w:val="en-CA"/>
        </w:rPr>
        <w:t>2026</w:t>
      </w:r>
      <w:proofErr w:type="gramEnd"/>
      <w:r w:rsidR="0019196B" w:rsidRPr="0019196B">
        <w:rPr>
          <w:rFonts w:asciiTheme="minorHAnsi" w:hAnsiTheme="minorHAnsi" w:cstheme="minorHAnsi"/>
          <w:color w:val="000000"/>
          <w:lang w:val="en-CA"/>
        </w:rPr>
        <w:t xml:space="preserve"> to August 2, 2026 for studies comparing </w:t>
      </w:r>
      <w:proofErr w:type="spellStart"/>
      <w:r w:rsidR="0019196B" w:rsidRPr="0019196B">
        <w:rPr>
          <w:rFonts w:asciiTheme="minorHAnsi" w:hAnsiTheme="minorHAnsi" w:cstheme="minorHAnsi"/>
          <w:color w:val="000000"/>
          <w:lang w:val="en-CA"/>
        </w:rPr>
        <w:t>levosimendan</w:t>
      </w:r>
      <w:proofErr w:type="spellEnd"/>
      <w:r w:rsidR="0019196B" w:rsidRPr="0019196B">
        <w:rPr>
          <w:rFonts w:asciiTheme="minorHAnsi" w:hAnsiTheme="minorHAnsi" w:cstheme="minorHAnsi"/>
          <w:color w:val="000000"/>
          <w:lang w:val="en-CA"/>
        </w:rPr>
        <w:t xml:space="preserve"> with control in adults on VA-ECMO. This review followed PRISMA 2020 reporting standards and was registered with PROSPERO (CRD420261467713). Two reviewers independently screened studies, extracted data, and assessed risk of bias using the Cochrane </w:t>
      </w:r>
      <w:proofErr w:type="spellStart"/>
      <w:r w:rsidR="0019196B" w:rsidRPr="0019196B">
        <w:rPr>
          <w:rFonts w:asciiTheme="minorHAnsi" w:hAnsiTheme="minorHAnsi" w:cstheme="minorHAnsi"/>
          <w:color w:val="000000"/>
          <w:lang w:val="en-CA"/>
        </w:rPr>
        <w:t>RoB</w:t>
      </w:r>
      <w:proofErr w:type="spellEnd"/>
      <w:r w:rsidR="0019196B" w:rsidRPr="0019196B">
        <w:rPr>
          <w:rFonts w:asciiTheme="minorHAnsi" w:hAnsiTheme="minorHAnsi" w:cstheme="minorHAnsi"/>
          <w:color w:val="000000"/>
          <w:lang w:val="en-CA"/>
        </w:rPr>
        <w:t xml:space="preserve"> 2 tool for randomized controlled trials and the Newcastle-Ottawa Scale for observational studies. Risk ratios and mean differences were pooled using random-effects models.</w:t>
      </w:r>
    </w:p>
    <w:p w14:paraId="2685B8FC" w14:textId="183726B6" w:rsidR="00C51D41" w:rsidRPr="002C4062" w:rsidRDefault="00C51D41" w:rsidP="007C7990">
      <w:pPr>
        <w:pStyle w:val="NormalWeb"/>
        <w:spacing w:before="0" w:beforeAutospacing="0" w:after="160" w:afterAutospacing="0" w:line="360" w:lineRule="auto"/>
        <w:jc w:val="both"/>
        <w:rPr>
          <w:rFonts w:asciiTheme="minorHAnsi" w:hAnsiTheme="minorHAnsi" w:cstheme="minorHAnsi"/>
        </w:rPr>
      </w:pPr>
      <w:r>
        <w:rPr>
          <w:rFonts w:asciiTheme="minorHAnsi" w:hAnsiTheme="minorHAnsi" w:cstheme="minorHAnsi"/>
          <w:b/>
          <w:bCs/>
          <w:color w:val="000000"/>
        </w:rPr>
        <w:t xml:space="preserve">Results: </w:t>
      </w:r>
      <w:r w:rsidR="0019196B" w:rsidRPr="0019196B">
        <w:rPr>
          <w:rFonts w:asciiTheme="minorHAnsi" w:hAnsiTheme="minorHAnsi" w:cstheme="minorHAnsi"/>
          <w:color w:val="000000"/>
          <w:lang w:val="en-CA"/>
        </w:rPr>
        <w:t xml:space="preserve">Fourteen studies met the inclusion criteria, of which 2 were randomized controlled trials and 12 were observational studies. All-cause mortality was lower with </w:t>
      </w:r>
      <w:proofErr w:type="spellStart"/>
      <w:r w:rsidR="0019196B" w:rsidRPr="0019196B">
        <w:rPr>
          <w:rFonts w:asciiTheme="minorHAnsi" w:hAnsiTheme="minorHAnsi" w:cstheme="minorHAnsi"/>
          <w:color w:val="000000"/>
          <w:lang w:val="en-CA"/>
        </w:rPr>
        <w:t>levosimendan</w:t>
      </w:r>
      <w:proofErr w:type="spellEnd"/>
      <w:r w:rsidR="0019196B" w:rsidRPr="0019196B">
        <w:rPr>
          <w:rFonts w:asciiTheme="minorHAnsi" w:hAnsiTheme="minorHAnsi" w:cstheme="minorHAnsi"/>
          <w:color w:val="000000"/>
          <w:lang w:val="en-CA"/>
        </w:rPr>
        <w:t xml:space="preserve"> (RR 0.86, 95% CI 0.74–0.99; P = 0.03; I² = 3%; 11 studies), and successful ECMO weaning was more common (RR 1.30, 95% CI 1.14–1.48; P = 0.0001; I² = 59%; 12 studies). In the overall analysis, duration of mechanical circulatory support was longer with </w:t>
      </w:r>
      <w:proofErr w:type="spellStart"/>
      <w:r w:rsidR="0019196B" w:rsidRPr="0019196B">
        <w:rPr>
          <w:rFonts w:asciiTheme="minorHAnsi" w:hAnsiTheme="minorHAnsi" w:cstheme="minorHAnsi"/>
          <w:color w:val="000000"/>
          <w:lang w:val="en-CA"/>
        </w:rPr>
        <w:t>levosimendan</w:t>
      </w:r>
      <w:proofErr w:type="spellEnd"/>
      <w:r w:rsidR="0019196B" w:rsidRPr="0019196B">
        <w:rPr>
          <w:rFonts w:asciiTheme="minorHAnsi" w:hAnsiTheme="minorHAnsi" w:cstheme="minorHAnsi"/>
          <w:color w:val="000000"/>
          <w:lang w:val="en-CA"/>
        </w:rPr>
        <w:t>, though this did not reach significance (MD +1.88 days, 95% CI −0.05 to 3.81; P = 0.06), with the effect confined to the observational studies (MD +2.66 days) and absent in the randomized trial. Intensive care unit stay showed a similar non-significant trend toward longer stay (MD +3.94 days, 95% CI −0.09 to 7.97; P = 0.06), and hospital length of stay did not differ significantly overall.</w:t>
      </w:r>
    </w:p>
    <w:p w14:paraId="73166426" w14:textId="536BD2FD" w:rsidR="00C51D41" w:rsidRPr="002C4062" w:rsidRDefault="00C51D41" w:rsidP="007C7990">
      <w:pPr>
        <w:pStyle w:val="NormalWeb"/>
        <w:spacing w:before="0" w:beforeAutospacing="0" w:after="160" w:afterAutospacing="0" w:line="360" w:lineRule="auto"/>
        <w:jc w:val="both"/>
        <w:rPr>
          <w:rFonts w:asciiTheme="minorHAnsi" w:hAnsiTheme="minorHAnsi" w:cstheme="minorHAnsi"/>
        </w:rPr>
      </w:pPr>
      <w:r>
        <w:rPr>
          <w:rFonts w:asciiTheme="minorHAnsi" w:hAnsiTheme="minorHAnsi" w:cstheme="minorHAnsi"/>
          <w:b/>
          <w:bCs/>
          <w:color w:val="000000"/>
        </w:rPr>
        <w:lastRenderedPageBreak/>
        <w:t xml:space="preserve">Conclusion: </w:t>
      </w:r>
      <w:r w:rsidR="0019196B" w:rsidRPr="0019196B">
        <w:rPr>
          <w:rFonts w:asciiTheme="minorHAnsi" w:hAnsiTheme="minorHAnsi" w:cstheme="minorHAnsi"/>
          <w:color w:val="000000"/>
          <w:lang w:val="en-CA"/>
        </w:rPr>
        <w:t xml:space="preserve">In adults with cardiogenic shock supported by VA-ECMO, </w:t>
      </w:r>
      <w:proofErr w:type="spellStart"/>
      <w:r w:rsidR="0019196B" w:rsidRPr="0019196B">
        <w:rPr>
          <w:rFonts w:asciiTheme="minorHAnsi" w:hAnsiTheme="minorHAnsi" w:cstheme="minorHAnsi"/>
          <w:color w:val="000000"/>
          <w:lang w:val="en-CA"/>
        </w:rPr>
        <w:t>levosimendan</w:t>
      </w:r>
      <w:proofErr w:type="spellEnd"/>
      <w:r w:rsidR="0019196B" w:rsidRPr="0019196B">
        <w:rPr>
          <w:rFonts w:asciiTheme="minorHAnsi" w:hAnsiTheme="minorHAnsi" w:cstheme="minorHAnsi"/>
          <w:color w:val="000000"/>
          <w:lang w:val="en-CA"/>
        </w:rPr>
        <w:t xml:space="preserve"> was associated with lower early mortality and more frequent successful weaning, although these benefits were largely confined to observational data and were not evident in the randomized trials. The pooled analysis also showed a non-significant trend toward longer duration of mechanical support and ICU stay, with no difference in hospital length of stay. Because the evidence remains predominantly observational and heterogeneity across outcomes ranges from low to substantial, these findings should be regarded as hypothesis-generating until confirmed by adequately powered randomized trials.</w:t>
      </w:r>
    </w:p>
    <w:p w14:paraId="1329607B" w14:textId="77777777" w:rsidR="0016703F" w:rsidRDefault="0016703F" w:rsidP="007C7990">
      <w:pPr>
        <w:pStyle w:val="Heading1"/>
        <w:spacing w:before="400" w:after="200" w:line="360" w:lineRule="auto"/>
        <w:jc w:val="both"/>
        <w:rPr>
          <w:rFonts w:asciiTheme="minorHAnsi" w:hAnsiTheme="minorHAnsi" w:cstheme="minorHAnsi"/>
          <w:color w:val="000000" w:themeColor="text1"/>
          <w:sz w:val="28"/>
          <w:szCs w:val="28"/>
        </w:rPr>
      </w:pPr>
    </w:p>
    <w:p w14:paraId="723EE7CE" w14:textId="77777777" w:rsidR="007D02EE" w:rsidRDefault="007D02EE" w:rsidP="007C7990">
      <w:pPr>
        <w:pStyle w:val="Heading1"/>
        <w:spacing w:before="400" w:after="200" w:line="360" w:lineRule="auto"/>
        <w:jc w:val="both"/>
        <w:rPr>
          <w:rFonts w:asciiTheme="minorHAnsi" w:hAnsiTheme="minorHAnsi" w:cstheme="minorHAnsi"/>
          <w:color w:val="000000" w:themeColor="text1"/>
          <w:sz w:val="28"/>
          <w:szCs w:val="28"/>
        </w:rPr>
      </w:pPr>
    </w:p>
    <w:p w14:paraId="7823C91A" w14:textId="77777777" w:rsidR="007D02EE" w:rsidRDefault="007D02EE" w:rsidP="007C7990">
      <w:pPr>
        <w:pStyle w:val="Heading1"/>
        <w:spacing w:before="400" w:after="200" w:line="360" w:lineRule="auto"/>
        <w:jc w:val="both"/>
        <w:rPr>
          <w:rFonts w:asciiTheme="minorHAnsi" w:hAnsiTheme="minorHAnsi" w:cstheme="minorHAnsi"/>
          <w:color w:val="000000" w:themeColor="text1"/>
          <w:sz w:val="28"/>
          <w:szCs w:val="28"/>
        </w:rPr>
      </w:pPr>
    </w:p>
    <w:p w14:paraId="2A06A592" w14:textId="77777777" w:rsidR="007D02EE" w:rsidRDefault="007D02EE" w:rsidP="007C7990">
      <w:pPr>
        <w:pStyle w:val="Heading1"/>
        <w:spacing w:before="400" w:after="200" w:line="360" w:lineRule="auto"/>
        <w:jc w:val="both"/>
        <w:rPr>
          <w:rFonts w:asciiTheme="minorHAnsi" w:hAnsiTheme="minorHAnsi" w:cstheme="minorHAnsi"/>
          <w:color w:val="000000" w:themeColor="text1"/>
          <w:sz w:val="28"/>
          <w:szCs w:val="28"/>
        </w:rPr>
      </w:pPr>
    </w:p>
    <w:p w14:paraId="1B7D0172" w14:textId="77777777" w:rsidR="007D02EE" w:rsidRDefault="007D02EE" w:rsidP="007C7990">
      <w:pPr>
        <w:pStyle w:val="Heading1"/>
        <w:spacing w:before="400" w:after="200" w:line="360" w:lineRule="auto"/>
        <w:jc w:val="both"/>
        <w:rPr>
          <w:rFonts w:asciiTheme="minorHAnsi" w:hAnsiTheme="minorHAnsi" w:cstheme="minorHAnsi"/>
          <w:color w:val="000000" w:themeColor="text1"/>
          <w:sz w:val="28"/>
          <w:szCs w:val="28"/>
        </w:rPr>
      </w:pPr>
    </w:p>
    <w:p w14:paraId="00A73594" w14:textId="77777777" w:rsidR="007D02EE" w:rsidRDefault="007D02EE" w:rsidP="007C7990">
      <w:pPr>
        <w:pStyle w:val="Heading1"/>
        <w:spacing w:before="400" w:after="200" w:line="360" w:lineRule="auto"/>
        <w:jc w:val="both"/>
        <w:rPr>
          <w:rFonts w:asciiTheme="minorHAnsi" w:hAnsiTheme="minorHAnsi" w:cstheme="minorHAnsi"/>
          <w:color w:val="000000" w:themeColor="text1"/>
          <w:sz w:val="28"/>
          <w:szCs w:val="28"/>
        </w:rPr>
      </w:pPr>
    </w:p>
    <w:p w14:paraId="253B0E91" w14:textId="77777777" w:rsidR="007D02EE" w:rsidRDefault="007D02EE" w:rsidP="007C7990">
      <w:pPr>
        <w:pStyle w:val="Heading1"/>
        <w:spacing w:before="400" w:after="200" w:line="360" w:lineRule="auto"/>
        <w:jc w:val="both"/>
        <w:rPr>
          <w:rFonts w:asciiTheme="minorHAnsi" w:hAnsiTheme="minorHAnsi" w:cstheme="minorHAnsi"/>
          <w:color w:val="000000" w:themeColor="text1"/>
          <w:sz w:val="28"/>
          <w:szCs w:val="28"/>
        </w:rPr>
      </w:pPr>
    </w:p>
    <w:p w14:paraId="5F130EEC" w14:textId="77777777" w:rsidR="007D02EE" w:rsidRDefault="007D02EE" w:rsidP="007C7990">
      <w:pPr>
        <w:pStyle w:val="Heading1"/>
        <w:spacing w:before="400" w:after="200" w:line="360" w:lineRule="auto"/>
        <w:jc w:val="both"/>
        <w:rPr>
          <w:rFonts w:asciiTheme="minorHAnsi" w:hAnsiTheme="minorHAnsi" w:cstheme="minorHAnsi"/>
          <w:color w:val="000000" w:themeColor="text1"/>
          <w:sz w:val="28"/>
          <w:szCs w:val="28"/>
        </w:rPr>
      </w:pPr>
    </w:p>
    <w:p w14:paraId="4E6D22F1" w14:textId="77777777" w:rsidR="007D02EE" w:rsidRDefault="007D02EE" w:rsidP="007C7990">
      <w:pPr>
        <w:pStyle w:val="Heading1"/>
        <w:spacing w:before="400" w:after="200" w:line="360" w:lineRule="auto"/>
        <w:jc w:val="both"/>
        <w:rPr>
          <w:rFonts w:asciiTheme="minorHAnsi" w:hAnsiTheme="minorHAnsi" w:cstheme="minorHAnsi"/>
          <w:color w:val="000000" w:themeColor="text1"/>
          <w:sz w:val="28"/>
          <w:szCs w:val="28"/>
        </w:rPr>
      </w:pPr>
    </w:p>
    <w:p w14:paraId="2EFE9E5A" w14:textId="77777777" w:rsidR="007D02EE" w:rsidRDefault="007D02EE" w:rsidP="007C7990">
      <w:pPr>
        <w:pStyle w:val="Heading1"/>
        <w:spacing w:before="400" w:after="200" w:line="360" w:lineRule="auto"/>
        <w:jc w:val="both"/>
        <w:rPr>
          <w:rFonts w:asciiTheme="minorHAnsi" w:hAnsiTheme="minorHAnsi" w:cstheme="minorHAnsi"/>
          <w:color w:val="000000" w:themeColor="text1"/>
          <w:sz w:val="28"/>
          <w:szCs w:val="28"/>
        </w:rPr>
      </w:pPr>
    </w:p>
    <w:p w14:paraId="3D0D0662" w14:textId="39A2A0C6" w:rsidR="002C4062" w:rsidRPr="002C4062" w:rsidRDefault="00C51D41" w:rsidP="007C7990">
      <w:pPr>
        <w:pStyle w:val="Heading1"/>
        <w:spacing w:before="400" w:after="200" w:line="360"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8"/>
          <w:szCs w:val="28"/>
        </w:rPr>
        <w:lastRenderedPageBreak/>
        <w:t>Introduction</w:t>
      </w:r>
    </w:p>
    <w:p w14:paraId="6DA8129A" w14:textId="77777777" w:rsidR="006D4DB2" w:rsidRPr="002C4062" w:rsidRDefault="006D4DB2" w:rsidP="006D4DB2">
      <w:pPr>
        <w:pStyle w:val="Heading2"/>
        <w:spacing w:line="360" w:lineRule="auto"/>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Cardiogenic shock denotes a state of profound myocardial pump failure culminating in critical hypoperfusion of the end organs and remains among the most lethal presentations encountered in contemporary cardiac care. Despite advances in early revascularization, pharmacologic support, and mechanical circulatory assistance, in-hospital mortality has persisted between 30% and 40% [1]. Its etiology is heterogeneous, encompassing acute myocardial infarction, post-cardiotomy failure, fulminant myocarditis, and decompensated chronic heart failure.</w:t>
      </w:r>
    </w:p>
    <w:p w14:paraId="63DE99F3" w14:textId="77777777" w:rsidR="006D4DB2" w:rsidRPr="002C4062" w:rsidRDefault="006D4DB2" w:rsidP="006D4DB2">
      <w:pPr>
        <w:pStyle w:val="NormalWeb"/>
        <w:spacing w:before="0" w:beforeAutospacing="0" w:after="200" w:afterAutospacing="0" w:line="360" w:lineRule="auto"/>
        <w:jc w:val="both"/>
        <w:rPr>
          <w:rFonts w:asciiTheme="minorHAnsi" w:hAnsiTheme="minorHAnsi" w:cstheme="minorHAnsi"/>
        </w:rPr>
      </w:pPr>
      <w:proofErr w:type="spellStart"/>
      <w:r>
        <w:rPr>
          <w:rFonts w:asciiTheme="minorHAnsi" w:hAnsiTheme="minorHAnsi" w:cstheme="minorHAnsi"/>
          <w:color w:val="000000"/>
        </w:rPr>
        <w:t>Veno</w:t>
      </w:r>
      <w:proofErr w:type="spellEnd"/>
      <w:r>
        <w:rPr>
          <w:rFonts w:asciiTheme="minorHAnsi" w:hAnsiTheme="minorHAnsi" w:cstheme="minorHAnsi"/>
          <w:color w:val="000000"/>
        </w:rPr>
        <w:t xml:space="preserve">-arterial extracorporeal membrane oxygenation has emerged as a widely adopted rescue method for refractory cardiogenic shock, providing temporary biventricular circulatory and respiratory support while the myocardium is undergoing recovery or while the patient is bridged to transplantation or a durable ventricular assistance device. This support, however, is not without consequences. Prolonged runs are associated complications such as hemorrhages, thromboembolism, nosocomial infections and left ventricular distension. These risks  accumulate </w:t>
      </w:r>
      <w:r>
        <w:t>with the duration of support. Timely successful weaning is among the strongest</w:t>
      </w:r>
      <w:r>
        <w:rPr>
          <w:rFonts w:asciiTheme="minorHAnsi" w:hAnsiTheme="minorHAnsi" w:cstheme="minorHAnsi"/>
          <w:color w:val="000000"/>
        </w:rPr>
        <w:t xml:space="preserve"> determinants of patient outcome, yet no pharmacologic weaning strategy has achieved consensus, and conventional catecholaminergic inotropes such as dobutamine carry their own liabilities with respect to myocardial oxygen demand and the potential to provoke arrhythmias.</w:t>
      </w:r>
    </w:p>
    <w:p w14:paraId="6DC4F0CB" w14:textId="77777777" w:rsidR="006D4DB2" w:rsidRPr="002C4062" w:rsidRDefault="006D4DB2" w:rsidP="006D4DB2">
      <w:pPr>
        <w:pStyle w:val="NormalWeb"/>
        <w:spacing w:before="0" w:beforeAutospacing="0" w:after="200" w:afterAutospacing="0" w:line="360" w:lineRule="auto"/>
        <w:jc w:val="both"/>
        <w:rPr>
          <w:rFonts w:asciiTheme="minorHAnsi" w:hAnsiTheme="minorHAnsi" w:cstheme="minorHAnsi"/>
        </w:rPr>
      </w:pP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differs from these agents. As a calcium sensitizer, it enhances myocardial contractility by stabilizing the calcium-bound conformation of cardiac troponin C, thereby promoting actin-myosin cross-bridge formation without a proportionate rise in intracellular calcium or myocardial oxygen consumption [2]. It further opens ATP-sensitive potassium channels in vascular smooth muscle producing coronary, pulmonary, and systemic vasodilation, alongside some anti-inflammatory and cardioprotective effects mediated via mitochondrial K-ATP channel activation. Its active metabolite, OR-1896, sustains these effects for several days beyond a single infusion. This pharmacological profile has positioned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as an attractive adjunct for facilitating myocardial recovery and VA-ECMO weaning. This rationale is supported by early observational cohorts reporting improved weaning rates and survival.</w:t>
      </w:r>
    </w:p>
    <w:p w14:paraId="37567CB4" w14:textId="77777777" w:rsidR="006D4DB2" w:rsidRPr="002C4062" w:rsidRDefault="006D4DB2" w:rsidP="006D4DB2">
      <w:pPr>
        <w:pStyle w:val="NormalWeb"/>
        <w:spacing w:before="0" w:beforeAutospacing="0" w:after="200" w:afterAutospacing="0" w:line="360" w:lineRule="auto"/>
        <w:jc w:val="both"/>
        <w:rPr>
          <w:rFonts w:asciiTheme="minorHAnsi" w:hAnsiTheme="minorHAnsi" w:cstheme="minorHAnsi"/>
        </w:rPr>
      </w:pPr>
      <w:r>
        <w:rPr>
          <w:rFonts w:asciiTheme="minorHAnsi" w:hAnsiTheme="minorHAnsi" w:cstheme="minorHAnsi"/>
          <w:color w:val="000000"/>
        </w:rPr>
        <w:lastRenderedPageBreak/>
        <w:t xml:space="preserve">Several systematic reviews have examined this question and reported extensively favorable associations between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and successful weaning, with some also suggesting a mortality benefit. These reviews, however, were constructed almost entirely from small, single-center observational cohorts, reflecting the near-absence of randomized evidence at the time. This landscape has since shifted and two randomized controlled trials, LEVOECMO [3] and WEANILEVO [4], have now reported their findings. </w:t>
      </w:r>
      <w:r w:rsidRPr="009357C8">
        <w:rPr>
          <w:rFonts w:asciiTheme="minorHAnsi" w:hAnsiTheme="minorHAnsi" w:cstheme="minorHAnsi"/>
          <w:color w:val="000000"/>
          <w:lang w:val="en-CA"/>
        </w:rPr>
        <w:t xml:space="preserve">Both trials were designed to test, under randomized conditions, whether </w:t>
      </w:r>
      <w:proofErr w:type="spellStart"/>
      <w:r w:rsidRPr="009357C8">
        <w:rPr>
          <w:rFonts w:asciiTheme="minorHAnsi" w:hAnsiTheme="minorHAnsi" w:cstheme="minorHAnsi"/>
          <w:color w:val="000000"/>
          <w:lang w:val="en-CA"/>
        </w:rPr>
        <w:t>levosimendan</w:t>
      </w:r>
      <w:proofErr w:type="spellEnd"/>
      <w:r w:rsidRPr="009357C8">
        <w:rPr>
          <w:rFonts w:asciiTheme="minorHAnsi" w:hAnsiTheme="minorHAnsi" w:cstheme="minorHAnsi"/>
          <w:color w:val="000000"/>
          <w:lang w:val="en-CA"/>
        </w:rPr>
        <w:t xml:space="preserve"> facilitates successful weaning from VA-ECMO in cardiogenic shock — the central claim of the earlier observational literature</w:t>
      </w:r>
      <w:r>
        <w:rPr>
          <w:rFonts w:asciiTheme="minorHAnsi" w:hAnsiTheme="minorHAnsi" w:cstheme="minorHAnsi"/>
          <w:color w:val="000000"/>
          <w:lang w:val="en-CA"/>
        </w:rPr>
        <w:t xml:space="preserve">. </w:t>
      </w:r>
    </w:p>
    <w:p w14:paraId="0BFAE108" w14:textId="77777777" w:rsidR="006D4DB2" w:rsidRPr="0016703F" w:rsidRDefault="006D4DB2" w:rsidP="006D4DB2">
      <w:pPr>
        <w:pStyle w:val="NormalWeb"/>
        <w:spacing w:before="0" w:beforeAutospacing="0" w:after="200" w:afterAutospacing="0" w:line="360" w:lineRule="auto"/>
        <w:jc w:val="both"/>
        <w:rPr>
          <w:rFonts w:asciiTheme="minorHAnsi" w:hAnsiTheme="minorHAnsi" w:cstheme="minorHAnsi"/>
        </w:rPr>
      </w:pPr>
      <w:r>
        <w:rPr>
          <w:rFonts w:asciiTheme="minorHAnsi" w:hAnsiTheme="minorHAnsi" w:cstheme="minorHAnsi"/>
          <w:color w:val="000000"/>
        </w:rPr>
        <w:t xml:space="preserve">With these 2 Randomized control trials in mind, this review was undertaken to address this claim. We carefully evaluated the effect of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relative to control, on all-cause mortality and successful VA-ECMO weaning as primary outcomes, with duration of mechanical circulatory support and intensive care unit and hospital length of stay assessed as secondary outcomes, in adults with cardiogenic shock supported by VA-ECMO.</w:t>
      </w:r>
    </w:p>
    <w:p w14:paraId="49F7A200" w14:textId="77777777" w:rsidR="00C51D41" w:rsidRPr="008614DA" w:rsidRDefault="00C51D41" w:rsidP="007C7990">
      <w:pPr>
        <w:pStyle w:val="NormalWeb"/>
        <w:spacing w:before="0" w:beforeAutospacing="0" w:after="160" w:afterAutospacing="0" w:line="360" w:lineRule="auto"/>
        <w:jc w:val="both"/>
        <w:rPr>
          <w:rFonts w:asciiTheme="minorHAnsi" w:hAnsiTheme="minorHAnsi" w:cstheme="minorHAnsi"/>
          <w:sz w:val="28"/>
          <w:szCs w:val="28"/>
        </w:rPr>
      </w:pPr>
      <w:r>
        <w:rPr>
          <w:rFonts w:asciiTheme="minorHAnsi" w:hAnsiTheme="minorHAnsi" w:cstheme="minorHAnsi"/>
          <w:b/>
          <w:bCs/>
          <w:color w:val="000000"/>
          <w:sz w:val="28"/>
          <w:szCs w:val="28"/>
        </w:rPr>
        <w:t>2. Methods</w:t>
      </w:r>
    </w:p>
    <w:p w14:paraId="3C0EC4C6" w14:textId="77777777" w:rsidR="00C51D41" w:rsidRPr="002C4062" w:rsidRDefault="00C51D41" w:rsidP="007C7990">
      <w:pPr>
        <w:pStyle w:val="NormalWeb"/>
        <w:spacing w:before="0" w:beforeAutospacing="0" w:after="160" w:afterAutospacing="0" w:line="360" w:lineRule="auto"/>
        <w:jc w:val="both"/>
        <w:rPr>
          <w:rFonts w:asciiTheme="minorHAnsi" w:hAnsiTheme="minorHAnsi" w:cstheme="minorHAnsi"/>
        </w:rPr>
      </w:pPr>
      <w:r>
        <w:rPr>
          <w:rFonts w:asciiTheme="minorHAnsi" w:hAnsiTheme="minorHAnsi" w:cstheme="minorHAnsi"/>
          <w:color w:val="000000"/>
        </w:rPr>
        <w:t>This systematic review and meta-analysis was conducted in accordance with the Cochrane Handbook for Systematic Reviews of Interventions and the Preferred Reporting Items for Systematic Reviews and Meta-Analyses (PRISMA) guidelines (Supplementary Table S1), as an update to a previously published meta-analysis on this topic. The protocol was registered with the PROSPERO International Prospective Register of Systematic Reviews (registration number CRD420261467713)</w:t>
      </w:r>
    </w:p>
    <w:p w14:paraId="1D9FB38D" w14:textId="77777777" w:rsidR="00C51D41" w:rsidRPr="00D33F34" w:rsidRDefault="00C51D41" w:rsidP="007C7990">
      <w:pPr>
        <w:pStyle w:val="NormalWeb"/>
        <w:spacing w:before="0" w:beforeAutospacing="0" w:after="160" w:afterAutospacing="0" w:line="360" w:lineRule="auto"/>
        <w:jc w:val="both"/>
        <w:rPr>
          <w:rFonts w:asciiTheme="minorHAnsi" w:hAnsiTheme="minorHAnsi" w:cstheme="minorHAnsi"/>
          <w:i/>
          <w:iCs/>
        </w:rPr>
      </w:pPr>
      <w:r w:rsidRPr="00D33F34">
        <w:rPr>
          <w:rFonts w:asciiTheme="minorHAnsi" w:hAnsiTheme="minorHAnsi" w:cstheme="minorHAnsi"/>
          <w:i/>
          <w:iCs/>
          <w:color w:val="000000"/>
        </w:rPr>
        <w:t>2.1 Databases and search strategy</w:t>
      </w:r>
    </w:p>
    <w:p w14:paraId="23A3496A" w14:textId="77777777" w:rsidR="00C71699" w:rsidRPr="002C4062" w:rsidRDefault="00C71699" w:rsidP="00C71699">
      <w:pPr>
        <w:pStyle w:val="NormalWeb"/>
        <w:spacing w:before="0" w:beforeAutospacing="0" w:after="160" w:afterAutospacing="0" w:line="360" w:lineRule="auto"/>
        <w:jc w:val="both"/>
        <w:rPr>
          <w:rFonts w:asciiTheme="minorHAnsi" w:hAnsiTheme="minorHAnsi" w:cstheme="minorHAnsi"/>
        </w:rPr>
      </w:pPr>
      <w:r>
        <w:rPr>
          <w:rFonts w:asciiTheme="minorHAnsi" w:hAnsiTheme="minorHAnsi" w:cstheme="minorHAnsi"/>
          <w:color w:val="000000"/>
        </w:rPr>
        <w:t>The studies were included from searching PubMed, Scopus, and ClinicalTrials.gov without any restriction on search date, from inception to August 2026. Search terms combined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OR “</w:t>
      </w:r>
      <w:proofErr w:type="spellStart"/>
      <w:r>
        <w:rPr>
          <w:rFonts w:asciiTheme="minorHAnsi" w:hAnsiTheme="minorHAnsi" w:cstheme="minorHAnsi"/>
          <w:color w:val="000000"/>
        </w:rPr>
        <w:t>Simendan</w:t>
      </w:r>
      <w:proofErr w:type="spellEnd"/>
      <w:r>
        <w:rPr>
          <w:rFonts w:asciiTheme="minorHAnsi" w:hAnsiTheme="minorHAnsi" w:cstheme="minorHAnsi"/>
          <w:color w:val="000000"/>
        </w:rPr>
        <w:t xml:space="preserve">”) AND (“Extracorporeal Membrane Oxygenation” OR “VA-ECMO” OR “ECMO”) AND (“Cardiogenic Shock” OR “Shock, Cardiogenic”); the detailed search strategy is provided in Supplementary Table S2. Reference lists of included studies and relevant </w:t>
      </w:r>
      <w:r>
        <w:rPr>
          <w:rFonts w:asciiTheme="minorHAnsi" w:hAnsiTheme="minorHAnsi" w:cstheme="minorHAnsi"/>
          <w:color w:val="000000"/>
        </w:rPr>
        <w:lastRenderedPageBreak/>
        <w:t>reviews were screened manually, and forward citation searching was performed using Web of Science.</w:t>
      </w:r>
    </w:p>
    <w:p w14:paraId="368A84A0" w14:textId="77777777" w:rsidR="00C51D41" w:rsidRPr="00D33F34" w:rsidRDefault="00C51D41" w:rsidP="007C7990">
      <w:pPr>
        <w:pStyle w:val="NormalWeb"/>
        <w:spacing w:before="0" w:beforeAutospacing="0" w:after="160" w:afterAutospacing="0" w:line="360" w:lineRule="auto"/>
        <w:jc w:val="both"/>
        <w:rPr>
          <w:rFonts w:asciiTheme="minorHAnsi" w:hAnsiTheme="minorHAnsi" w:cstheme="minorHAnsi"/>
          <w:i/>
          <w:iCs/>
        </w:rPr>
      </w:pPr>
      <w:r w:rsidRPr="00D33F34">
        <w:rPr>
          <w:rFonts w:asciiTheme="minorHAnsi" w:hAnsiTheme="minorHAnsi" w:cstheme="minorHAnsi"/>
          <w:i/>
          <w:iCs/>
          <w:color w:val="000000"/>
        </w:rPr>
        <w:t>2.2 Eligibility criteria</w:t>
      </w:r>
    </w:p>
    <w:p w14:paraId="16C6406D" w14:textId="77777777" w:rsidR="00C71699" w:rsidRPr="002C4062" w:rsidRDefault="00C71699" w:rsidP="00C71699">
      <w:pPr>
        <w:spacing w:line="360" w:lineRule="auto"/>
        <w:jc w:val="both"/>
        <w:rPr>
          <w:rFonts w:asciiTheme="minorHAnsi" w:hAnsiTheme="minorHAnsi" w:cstheme="minorHAnsi"/>
        </w:rPr>
      </w:pPr>
      <w:r w:rsidRPr="00F464D1">
        <w:rPr>
          <w:rFonts w:asciiTheme="minorHAnsi" w:hAnsiTheme="minorHAnsi" w:cstheme="minorHAnsi"/>
          <w:color w:val="000000"/>
          <w:lang w:eastAsia="en-US"/>
        </w:rPr>
        <w:t xml:space="preserve">All records were imported into Rayyan and de-duplicated. Two authors (K.F. and M.S.) independently screened titles and abstracts, and the full texts of the remaining articles were assessed against the eligibility criteria, which were defined using the PICO framework. </w:t>
      </w:r>
      <w:r w:rsidRPr="00F464D1">
        <w:rPr>
          <w:rFonts w:asciiTheme="minorHAnsi" w:hAnsiTheme="minorHAnsi" w:cstheme="minorHAnsi"/>
          <w:b/>
          <w:bCs/>
          <w:color w:val="000000"/>
          <w:lang w:eastAsia="en-US"/>
        </w:rPr>
        <w:t>Population:</w:t>
      </w:r>
      <w:r w:rsidRPr="00F464D1">
        <w:rPr>
          <w:rFonts w:asciiTheme="minorHAnsi" w:hAnsiTheme="minorHAnsi" w:cstheme="minorHAnsi"/>
          <w:color w:val="000000"/>
          <w:lang w:eastAsia="en-US"/>
        </w:rPr>
        <w:t xml:space="preserve"> </w:t>
      </w:r>
      <w:r>
        <w:rPr>
          <w:rFonts w:asciiTheme="minorHAnsi" w:hAnsiTheme="minorHAnsi" w:cstheme="minorHAnsi"/>
          <w:color w:val="000000"/>
          <w:lang w:eastAsia="en-US"/>
        </w:rPr>
        <w:t>A</w:t>
      </w:r>
      <w:r w:rsidRPr="00F464D1">
        <w:rPr>
          <w:rFonts w:asciiTheme="minorHAnsi" w:hAnsiTheme="minorHAnsi" w:cstheme="minorHAnsi"/>
          <w:color w:val="000000"/>
          <w:lang w:eastAsia="en-US"/>
        </w:rPr>
        <w:t xml:space="preserve">dults (≥ 18 years) undergoing </w:t>
      </w:r>
      <w:proofErr w:type="spellStart"/>
      <w:r w:rsidRPr="00F464D1">
        <w:rPr>
          <w:rFonts w:asciiTheme="minorHAnsi" w:hAnsiTheme="minorHAnsi" w:cstheme="minorHAnsi"/>
          <w:color w:val="000000"/>
          <w:lang w:eastAsia="en-US"/>
        </w:rPr>
        <w:t>veno</w:t>
      </w:r>
      <w:proofErr w:type="spellEnd"/>
      <w:r w:rsidRPr="00F464D1">
        <w:rPr>
          <w:rFonts w:asciiTheme="minorHAnsi" w:hAnsiTheme="minorHAnsi" w:cstheme="minorHAnsi"/>
          <w:color w:val="000000"/>
          <w:lang w:eastAsia="en-US"/>
        </w:rPr>
        <w:t xml:space="preserve">-arterial extracorporeal membrane oxygenation (VA-ECMO) for cardiogenic shock of any etiology. </w:t>
      </w:r>
      <w:r w:rsidRPr="00F464D1">
        <w:rPr>
          <w:rFonts w:asciiTheme="minorHAnsi" w:hAnsiTheme="minorHAnsi" w:cstheme="minorHAnsi"/>
          <w:b/>
          <w:bCs/>
          <w:color w:val="000000"/>
          <w:lang w:eastAsia="en-US"/>
        </w:rPr>
        <w:t>Intervention:</w:t>
      </w:r>
      <w:r w:rsidRPr="00F464D1">
        <w:rPr>
          <w:rFonts w:asciiTheme="minorHAnsi" w:hAnsiTheme="minorHAnsi" w:cstheme="minorHAnsi"/>
          <w:color w:val="000000"/>
          <w:lang w:eastAsia="en-US"/>
        </w:rPr>
        <w:t xml:space="preserve"> </w:t>
      </w:r>
      <w:r>
        <w:rPr>
          <w:rFonts w:asciiTheme="minorHAnsi" w:hAnsiTheme="minorHAnsi" w:cstheme="minorHAnsi"/>
          <w:color w:val="000000"/>
          <w:lang w:eastAsia="en-US"/>
        </w:rPr>
        <w:t>I</w:t>
      </w:r>
      <w:r w:rsidRPr="00F464D1">
        <w:rPr>
          <w:rFonts w:asciiTheme="minorHAnsi" w:hAnsiTheme="minorHAnsi" w:cstheme="minorHAnsi"/>
          <w:color w:val="000000"/>
          <w:lang w:eastAsia="en-US"/>
        </w:rPr>
        <w:t xml:space="preserve">nfusion of </w:t>
      </w:r>
      <w:proofErr w:type="spellStart"/>
      <w:r w:rsidRPr="00F464D1">
        <w:rPr>
          <w:rFonts w:asciiTheme="minorHAnsi" w:hAnsiTheme="minorHAnsi" w:cstheme="minorHAnsi"/>
          <w:color w:val="000000"/>
          <w:lang w:eastAsia="en-US"/>
        </w:rPr>
        <w:t>levosimendan</w:t>
      </w:r>
      <w:proofErr w:type="spellEnd"/>
      <w:r w:rsidRPr="00F464D1">
        <w:rPr>
          <w:rFonts w:asciiTheme="minorHAnsi" w:hAnsiTheme="minorHAnsi" w:cstheme="minorHAnsi"/>
          <w:color w:val="000000"/>
          <w:lang w:eastAsia="en-US"/>
        </w:rPr>
        <w:t xml:space="preserve"> before or during VA-ECMO support. </w:t>
      </w:r>
      <w:r w:rsidRPr="00F464D1">
        <w:rPr>
          <w:rFonts w:asciiTheme="minorHAnsi" w:hAnsiTheme="minorHAnsi" w:cstheme="minorHAnsi"/>
          <w:b/>
          <w:bCs/>
          <w:color w:val="000000"/>
          <w:lang w:eastAsia="en-US"/>
        </w:rPr>
        <w:t>Comparator:</w:t>
      </w:r>
      <w:r w:rsidRPr="00F464D1">
        <w:rPr>
          <w:rFonts w:asciiTheme="minorHAnsi" w:hAnsiTheme="minorHAnsi" w:cstheme="minorHAnsi"/>
          <w:color w:val="000000"/>
          <w:lang w:eastAsia="en-US"/>
        </w:rPr>
        <w:t xml:space="preserve"> </w:t>
      </w:r>
      <w:r>
        <w:rPr>
          <w:rFonts w:asciiTheme="minorHAnsi" w:hAnsiTheme="minorHAnsi" w:cstheme="minorHAnsi"/>
          <w:color w:val="000000"/>
          <w:lang w:eastAsia="en-US"/>
        </w:rPr>
        <w:t>P</w:t>
      </w:r>
      <w:r w:rsidRPr="00F464D1">
        <w:rPr>
          <w:rFonts w:asciiTheme="minorHAnsi" w:hAnsiTheme="minorHAnsi" w:cstheme="minorHAnsi"/>
          <w:color w:val="000000"/>
          <w:lang w:eastAsia="en-US"/>
        </w:rPr>
        <w:t>lacebo, standard care, or another (non-</w:t>
      </w:r>
      <w:proofErr w:type="spellStart"/>
      <w:r w:rsidRPr="00F464D1">
        <w:rPr>
          <w:rFonts w:asciiTheme="minorHAnsi" w:hAnsiTheme="minorHAnsi" w:cstheme="minorHAnsi"/>
          <w:color w:val="000000"/>
          <w:lang w:eastAsia="en-US"/>
        </w:rPr>
        <w:t>levosimendan</w:t>
      </w:r>
      <w:proofErr w:type="spellEnd"/>
      <w:r w:rsidRPr="00F464D1">
        <w:rPr>
          <w:rFonts w:asciiTheme="minorHAnsi" w:hAnsiTheme="minorHAnsi" w:cstheme="minorHAnsi"/>
          <w:color w:val="000000"/>
          <w:lang w:eastAsia="en-US"/>
        </w:rPr>
        <w:t xml:space="preserve">) inotrope. </w:t>
      </w:r>
      <w:r w:rsidRPr="00F464D1">
        <w:rPr>
          <w:rFonts w:asciiTheme="minorHAnsi" w:hAnsiTheme="minorHAnsi" w:cstheme="minorHAnsi"/>
          <w:b/>
          <w:bCs/>
          <w:color w:val="000000"/>
          <w:lang w:eastAsia="en-US"/>
        </w:rPr>
        <w:t>Outcomes:</w:t>
      </w:r>
      <w:r w:rsidRPr="00F464D1">
        <w:rPr>
          <w:rFonts w:asciiTheme="minorHAnsi" w:hAnsiTheme="minorHAnsi" w:cstheme="minorHAnsi"/>
          <w:color w:val="000000"/>
          <w:lang w:eastAsia="en-US"/>
        </w:rPr>
        <w:t xml:space="preserve"> </w:t>
      </w:r>
      <w:r>
        <w:rPr>
          <w:rFonts w:asciiTheme="minorHAnsi" w:hAnsiTheme="minorHAnsi" w:cstheme="minorHAnsi"/>
          <w:color w:val="000000"/>
          <w:lang w:eastAsia="en-US"/>
        </w:rPr>
        <w:t>T</w:t>
      </w:r>
      <w:r w:rsidRPr="00F464D1">
        <w:rPr>
          <w:rFonts w:asciiTheme="minorHAnsi" w:hAnsiTheme="minorHAnsi" w:cstheme="minorHAnsi"/>
          <w:color w:val="000000"/>
          <w:lang w:eastAsia="en-US"/>
        </w:rPr>
        <w:t xml:space="preserve">he primary outcomes were all-cause mortality within 30 days and successful weaning from mechanical circulatory support; the secondary outcomes were duration of mechanical circulatory support, intensive care unit (ICU) and hospital length of stay, and arrhythmia. Only randomized controlled trials and observational studies were included. Exclusion criteria were non-comparative or single-arm studies, case reports, reviews, editorials, animal studies, populations not in cardiogenic shock, </w:t>
      </w:r>
      <w:proofErr w:type="spellStart"/>
      <w:r w:rsidRPr="00F464D1">
        <w:rPr>
          <w:rFonts w:asciiTheme="minorHAnsi" w:hAnsiTheme="minorHAnsi" w:cstheme="minorHAnsi"/>
          <w:color w:val="000000"/>
          <w:lang w:eastAsia="en-US"/>
        </w:rPr>
        <w:t>levosimendan</w:t>
      </w:r>
      <w:proofErr w:type="spellEnd"/>
      <w:r w:rsidRPr="00F464D1">
        <w:rPr>
          <w:rFonts w:asciiTheme="minorHAnsi" w:hAnsiTheme="minorHAnsi" w:cstheme="minorHAnsi"/>
          <w:color w:val="000000"/>
          <w:lang w:eastAsia="en-US"/>
        </w:rPr>
        <w:t xml:space="preserve"> used solely as rescue therapy in refractory, deteriorating patients after failure of conventional treatment (planned early or peri-weaning use remained eligible), and pediatric-only cohorts (&lt; 18 years).</w:t>
      </w:r>
    </w:p>
    <w:p w14:paraId="007367E8" w14:textId="77777777" w:rsidR="00C51D41" w:rsidRPr="002C4062" w:rsidRDefault="00C51D41" w:rsidP="007C7990">
      <w:pPr>
        <w:spacing w:line="360" w:lineRule="auto"/>
        <w:jc w:val="both"/>
        <w:rPr>
          <w:rFonts w:asciiTheme="minorHAnsi" w:hAnsiTheme="minorHAnsi" w:cstheme="minorHAnsi"/>
        </w:rPr>
      </w:pPr>
    </w:p>
    <w:p w14:paraId="6665EB26" w14:textId="77777777" w:rsidR="00C51D41" w:rsidRPr="00D33F34" w:rsidRDefault="00C51D41" w:rsidP="007C7990">
      <w:pPr>
        <w:pStyle w:val="NormalWeb"/>
        <w:spacing w:before="0" w:beforeAutospacing="0" w:after="160" w:afterAutospacing="0" w:line="360" w:lineRule="auto"/>
        <w:jc w:val="both"/>
        <w:rPr>
          <w:rFonts w:asciiTheme="minorHAnsi" w:hAnsiTheme="minorHAnsi" w:cstheme="minorHAnsi"/>
          <w:i/>
          <w:iCs/>
        </w:rPr>
      </w:pPr>
      <w:r w:rsidRPr="00D33F34">
        <w:rPr>
          <w:rFonts w:asciiTheme="minorHAnsi" w:hAnsiTheme="minorHAnsi" w:cstheme="minorHAnsi"/>
          <w:i/>
          <w:iCs/>
          <w:color w:val="000000"/>
        </w:rPr>
        <w:t>2.3 Data extraction</w:t>
      </w:r>
    </w:p>
    <w:p w14:paraId="50CB5F9A" w14:textId="77777777" w:rsidR="009261D9" w:rsidRPr="002C4062" w:rsidRDefault="009261D9" w:rsidP="009261D9">
      <w:pPr>
        <w:pStyle w:val="NormalWeb"/>
        <w:spacing w:before="0" w:beforeAutospacing="0" w:after="160" w:afterAutospacing="0" w:line="360" w:lineRule="auto"/>
        <w:jc w:val="both"/>
        <w:rPr>
          <w:rFonts w:asciiTheme="minorHAnsi" w:hAnsiTheme="minorHAnsi" w:cstheme="minorHAnsi"/>
        </w:rPr>
      </w:pPr>
      <w:r>
        <w:rPr>
          <w:rFonts w:asciiTheme="minorHAnsi" w:hAnsiTheme="minorHAnsi" w:cstheme="minorHAnsi"/>
          <w:color w:val="000000"/>
        </w:rPr>
        <w:t>Two independent authors extracted the first author, year of publication, study design, study duration, country, sample size, patient demographics (age, sex),</w:t>
      </w:r>
      <w:r>
        <w:rPr>
          <w:rFonts w:asciiTheme="minorHAnsi" w:hAnsiTheme="minorHAnsi" w:cstheme="minorHAnsi"/>
          <w:b/>
          <w:bCs/>
          <w:color w:val="FFFFFF"/>
        </w:rPr>
        <w:t xml:space="preserve"> </w:t>
      </w:r>
      <w:r>
        <w:rPr>
          <w:rFonts w:asciiTheme="minorHAnsi" w:hAnsiTheme="minorHAnsi" w:cstheme="minorHAnsi"/>
          <w:color w:val="000000"/>
        </w:rPr>
        <w:t>Cardiogenic Shock Etiology, mechanical support type &amp; configuration,</w:t>
      </w:r>
      <w:r>
        <w:rPr>
          <w:rFonts w:asciiTheme="minorHAnsi" w:hAnsiTheme="minorHAnsi" w:cstheme="minorHAnsi"/>
          <w:color w:val="FFFFFF"/>
        </w:rPr>
        <w:t xml:space="preserve">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Regimen (dose, loading, duration),</w:t>
      </w:r>
      <w:r>
        <w:rPr>
          <w:rFonts w:asciiTheme="minorHAnsi" w:hAnsiTheme="minorHAnsi" w:cstheme="minorHAnsi"/>
          <w:color w:val="FFFFFF"/>
        </w:rPr>
        <w:t xml:space="preserve"> </w:t>
      </w:r>
      <w:r>
        <w:rPr>
          <w:rFonts w:asciiTheme="minorHAnsi" w:hAnsiTheme="minorHAnsi" w:cstheme="minorHAnsi"/>
          <w:color w:val="000000"/>
        </w:rPr>
        <w:t>timing category, LVEF, serum lactate, and vasoactive-inotropic score. For dichotomous outcomes, the number of events and total participants were extracted; for continuous outcomes, sample size, mean, and standard deviation were extracted as reported, with medians converted to means for analysis. For observational studies, propensity-score-matched (PSM) data were extracted where available, to reduce selection bias and baseline confounding by indication.</w:t>
      </w:r>
    </w:p>
    <w:p w14:paraId="2BC9306A" w14:textId="77777777" w:rsidR="00C51D41" w:rsidRPr="00D33F34" w:rsidRDefault="00C51D41" w:rsidP="007C7990">
      <w:pPr>
        <w:pStyle w:val="NormalWeb"/>
        <w:spacing w:before="0" w:beforeAutospacing="0" w:after="160" w:afterAutospacing="0" w:line="360" w:lineRule="auto"/>
        <w:jc w:val="both"/>
        <w:rPr>
          <w:rFonts w:asciiTheme="minorHAnsi" w:hAnsiTheme="minorHAnsi" w:cstheme="minorHAnsi"/>
          <w:i/>
          <w:iCs/>
        </w:rPr>
      </w:pPr>
      <w:r w:rsidRPr="00D33F34">
        <w:rPr>
          <w:rFonts w:asciiTheme="minorHAnsi" w:hAnsiTheme="minorHAnsi" w:cstheme="minorHAnsi"/>
          <w:i/>
          <w:iCs/>
          <w:color w:val="000000"/>
        </w:rPr>
        <w:t>2.4 Assessment of risk of bias</w:t>
      </w:r>
    </w:p>
    <w:p w14:paraId="0A7D039E" w14:textId="77777777" w:rsidR="009261D9" w:rsidRPr="002C4062" w:rsidRDefault="009261D9" w:rsidP="009261D9">
      <w:pPr>
        <w:pStyle w:val="NormalWeb"/>
        <w:spacing w:before="0" w:beforeAutospacing="0" w:after="160" w:afterAutospacing="0" w:line="360" w:lineRule="auto"/>
        <w:jc w:val="both"/>
        <w:rPr>
          <w:rFonts w:asciiTheme="minorHAnsi" w:hAnsiTheme="minorHAnsi" w:cstheme="minorHAnsi"/>
        </w:rPr>
      </w:pPr>
      <w:r>
        <w:rPr>
          <w:rFonts w:asciiTheme="minorHAnsi" w:hAnsiTheme="minorHAnsi" w:cstheme="minorHAnsi"/>
          <w:color w:val="000000"/>
        </w:rPr>
        <w:lastRenderedPageBreak/>
        <w:t>Two independent authors (Q.A. and A.F.) assessed risk of bias for included RCTs using the Cochrane Risk of Bias 2.0 (</w:t>
      </w:r>
      <w:proofErr w:type="spellStart"/>
      <w:r>
        <w:rPr>
          <w:rFonts w:asciiTheme="minorHAnsi" w:hAnsiTheme="minorHAnsi" w:cstheme="minorHAnsi"/>
          <w:color w:val="000000"/>
        </w:rPr>
        <w:t>RoB</w:t>
      </w:r>
      <w:proofErr w:type="spellEnd"/>
      <w:r>
        <w:rPr>
          <w:rFonts w:asciiTheme="minorHAnsi" w:hAnsiTheme="minorHAnsi" w:cstheme="minorHAnsi"/>
          <w:color w:val="000000"/>
        </w:rPr>
        <w:t xml:space="preserve"> 2.0) tool across five domains: (1) the randomization process, (2) deviations from intended interventions, (3) missing outcome data, (4) measurement of the outcome, and (5) selection of the reported result. Each domain was rated as low risk, some concerns, or high risk. For cohort studies, risk of bias was assessed with the Newcastle–Ottawa Scale (NOS), evaluating selection, comparability, and outcome/exposure ascertainment. Conflicts were resolved by discussion with a third author (M.M.). The overall certainty of evidence for each outcome was graded as very low, low, moderate, or high using the GRADE framework, considering risk of bias, inconsistency, indirectness, imprecision and publication bias. A Summary of Findings with the certainty rating for each outcome is provided in Supplementary Table S3.</w:t>
      </w:r>
    </w:p>
    <w:p w14:paraId="6F77BF6B" w14:textId="77777777" w:rsidR="00C51D41" w:rsidRDefault="00C51D41" w:rsidP="007C7990">
      <w:pPr>
        <w:spacing w:line="360" w:lineRule="auto"/>
        <w:jc w:val="both"/>
        <w:rPr>
          <w:rFonts w:asciiTheme="minorHAnsi" w:hAnsiTheme="minorHAnsi" w:cstheme="minorHAnsi"/>
          <w:lang w:val="en-US"/>
        </w:rPr>
      </w:pPr>
    </w:p>
    <w:p w14:paraId="447D8B7C" w14:textId="77777777" w:rsidR="009261D9" w:rsidRPr="009261D9" w:rsidRDefault="009261D9" w:rsidP="007C7990">
      <w:pPr>
        <w:spacing w:line="360" w:lineRule="auto"/>
        <w:jc w:val="both"/>
        <w:rPr>
          <w:rFonts w:asciiTheme="minorHAnsi" w:hAnsiTheme="minorHAnsi" w:cstheme="minorHAnsi"/>
          <w:lang w:val="en-US"/>
        </w:rPr>
      </w:pPr>
    </w:p>
    <w:p w14:paraId="5FF762EE" w14:textId="77777777" w:rsidR="00C51D41" w:rsidRPr="00D33F34" w:rsidRDefault="00C51D41" w:rsidP="007C7990">
      <w:pPr>
        <w:pStyle w:val="NormalWeb"/>
        <w:spacing w:before="0" w:beforeAutospacing="0" w:after="160" w:afterAutospacing="0" w:line="360" w:lineRule="auto"/>
        <w:jc w:val="both"/>
        <w:rPr>
          <w:rFonts w:asciiTheme="minorHAnsi" w:hAnsiTheme="minorHAnsi" w:cstheme="minorHAnsi"/>
          <w:i/>
          <w:iCs/>
        </w:rPr>
      </w:pPr>
      <w:r w:rsidRPr="00D33F34">
        <w:rPr>
          <w:rFonts w:asciiTheme="minorHAnsi" w:hAnsiTheme="minorHAnsi" w:cstheme="minorHAnsi"/>
          <w:i/>
          <w:iCs/>
          <w:color w:val="000000"/>
        </w:rPr>
        <w:t>2.5 Statistical analysis</w:t>
      </w:r>
    </w:p>
    <w:p w14:paraId="6CFEC6F6" w14:textId="77777777" w:rsidR="009261D9" w:rsidRDefault="009261D9" w:rsidP="009261D9">
      <w:pPr>
        <w:pStyle w:val="NormalWeb"/>
        <w:spacing w:before="0" w:beforeAutospacing="0" w:after="160" w:afterAutospacing="0" w:line="360" w:lineRule="auto"/>
        <w:jc w:val="both"/>
        <w:rPr>
          <w:rFonts w:asciiTheme="minorHAnsi" w:hAnsiTheme="minorHAnsi" w:cstheme="minorHAnsi"/>
          <w:color w:val="000000"/>
        </w:rPr>
      </w:pPr>
      <w:r>
        <w:rPr>
          <w:rFonts w:asciiTheme="minorHAnsi" w:hAnsiTheme="minorHAnsi" w:cstheme="minorHAnsi"/>
          <w:color w:val="000000"/>
        </w:rPr>
        <w:t>Continuous outcomes (e.g., duration of mechanical circulatory support, ICU and hospital length of stay, hemodynamics-cardiac index, VIS, serum lactate) were pooled as mean differences (MD) with 95% CI, and dichotomous outcomes (e.g., arrhythmia, mortality, successful weaning rate) as risk ratios (RR) with 95% CI. A random-effects model (</w:t>
      </w:r>
      <w:proofErr w:type="spellStart"/>
      <w:r>
        <w:rPr>
          <w:rFonts w:asciiTheme="minorHAnsi" w:hAnsiTheme="minorHAnsi" w:cstheme="minorHAnsi"/>
          <w:color w:val="000000"/>
        </w:rPr>
        <w:t>DerSimonian</w:t>
      </w:r>
      <w:proofErr w:type="spellEnd"/>
      <w:r>
        <w:rPr>
          <w:rFonts w:asciiTheme="minorHAnsi" w:hAnsiTheme="minorHAnsi" w:cstheme="minorHAnsi"/>
          <w:color w:val="000000"/>
        </w:rPr>
        <w:t xml:space="preserve"> and Laird) was applied uniformly across all outcomes, given the anticipated clinical and methodological heterogeneity from pooling RCTs and cohort studies. Heterogeneity was assessed using the Chi² test and I² statistic, with a Chi² P-value &lt; 0.10 indicating statistically significant heterogeneity. P &lt; 0.05 was considered statistically significant for pooled estimates, and all tests were two-sided. Pooled results were presented as forest plots. Funnel plots were used to assess publication bias for outcomes with at least 10 studies. Analyses were performed using Review Manager (</w:t>
      </w:r>
      <w:proofErr w:type="spellStart"/>
      <w:r>
        <w:rPr>
          <w:rFonts w:asciiTheme="minorHAnsi" w:hAnsiTheme="minorHAnsi" w:cstheme="minorHAnsi"/>
          <w:color w:val="000000"/>
        </w:rPr>
        <w:t>RevMan</w:t>
      </w:r>
      <w:proofErr w:type="spellEnd"/>
      <w:r>
        <w:rPr>
          <w:rFonts w:asciiTheme="minorHAnsi" w:hAnsiTheme="minorHAnsi" w:cstheme="minorHAnsi"/>
          <w:color w:val="000000"/>
        </w:rPr>
        <w:t xml:space="preserve">, version 5.4; The Cochrane Collaboration, Copenhagen, Denmark). Subgroup analyses were performed </w:t>
      </w:r>
      <w:proofErr w:type="gramStart"/>
      <w:r>
        <w:rPr>
          <w:rFonts w:asciiTheme="minorHAnsi" w:hAnsiTheme="minorHAnsi" w:cstheme="minorHAnsi"/>
          <w:color w:val="000000"/>
        </w:rPr>
        <w:t>on the basis of</w:t>
      </w:r>
      <w:proofErr w:type="gramEnd"/>
      <w:r>
        <w:rPr>
          <w:rFonts w:asciiTheme="minorHAnsi" w:hAnsiTheme="minorHAnsi" w:cstheme="minorHAnsi"/>
          <w:color w:val="000000"/>
        </w:rPr>
        <w:t xml:space="preserve"> study design (randomized controlled trials versus observational studies), and leave-one-out sensitivity analyses were used to evaluate the influence of individual studies on risk of bias and heterogeneity.</w:t>
      </w:r>
    </w:p>
    <w:p w14:paraId="3697EB61" w14:textId="77777777" w:rsidR="00D50F82" w:rsidRPr="009261D9" w:rsidRDefault="00D50F82" w:rsidP="007C7990">
      <w:pPr>
        <w:pStyle w:val="Heading1"/>
        <w:spacing w:before="280" w:after="130" w:line="360" w:lineRule="auto"/>
        <w:jc w:val="both"/>
        <w:rPr>
          <w:rFonts w:asciiTheme="minorHAnsi" w:hAnsiTheme="minorHAnsi" w:cstheme="minorHAnsi"/>
          <w:sz w:val="28"/>
          <w:szCs w:val="28"/>
          <w:lang w:val="en-US"/>
        </w:rPr>
      </w:pPr>
    </w:p>
    <w:p w14:paraId="7D2DB629" w14:textId="77777777" w:rsidR="00DF323C" w:rsidRPr="00FA5F69" w:rsidRDefault="00DF323C" w:rsidP="007C7990">
      <w:pPr>
        <w:pStyle w:val="Heading1"/>
        <w:spacing w:before="280" w:after="130" w:line="360" w:lineRule="auto"/>
        <w:jc w:val="both"/>
        <w:rPr>
          <w:rFonts w:asciiTheme="minorHAnsi" w:hAnsiTheme="minorHAnsi" w:cstheme="minorHAnsi"/>
          <w:sz w:val="32"/>
          <w:szCs w:val="32"/>
          <w:lang w:val="en-US" w:eastAsia="en-US"/>
        </w:rPr>
      </w:pPr>
      <w:r>
        <w:rPr>
          <w:rFonts w:asciiTheme="minorHAnsi" w:hAnsiTheme="minorHAnsi" w:cstheme="minorHAnsi"/>
          <w:sz w:val="28"/>
          <w:szCs w:val="28"/>
        </w:rPr>
        <w:lastRenderedPageBreak/>
        <w:t>3. Results</w:t>
      </w:r>
    </w:p>
    <w:p w14:paraId="68DA7787" w14:textId="77777777" w:rsidR="009261D9" w:rsidRPr="00083D16" w:rsidRDefault="009261D9" w:rsidP="009261D9">
      <w:pPr>
        <w:pStyle w:val="Heading2"/>
        <w:spacing w:before="280" w:after="130" w:line="360" w:lineRule="auto"/>
        <w:jc w:val="both"/>
        <w:rPr>
          <w:i/>
          <w:iCs/>
          <w:sz w:val="24"/>
          <w:szCs w:val="24"/>
        </w:rPr>
      </w:pPr>
      <w:r w:rsidRPr="00083D16">
        <w:rPr>
          <w:i/>
          <w:iCs/>
          <w:color w:val="000000"/>
          <w:sz w:val="24"/>
          <w:szCs w:val="24"/>
        </w:rPr>
        <w:t>3.1 Search results</w:t>
      </w:r>
    </w:p>
    <w:p w14:paraId="20286E01" w14:textId="77777777" w:rsidR="009261D9" w:rsidRDefault="009261D9" w:rsidP="009261D9">
      <w:pPr>
        <w:spacing w:after="150" w:line="360" w:lineRule="auto"/>
        <w:jc w:val="both"/>
      </w:pPr>
      <w:r>
        <w:rPr>
          <w:color w:val="000000"/>
        </w:rPr>
        <w:t>The literature search retrieved 450 records. After removal of 89 duplicates, 361 records were screened by title and abstract and 17 articles were retained for full-text assessment. Fourteen studies were included, two randomised controlled trials and twelve observational cohort studies. Three records were excluded at full text: one duplicate record of an already included cohort, one trial design and rationale paper reporting no outcome data [5], and one small case series that did not meet the prespecified population and comparator criteria [6]. The screening process is summarised in the PRISMA flow diagram, and the completed PRISMA 2020 checklist is provided as supplementary material.</w:t>
      </w:r>
    </w:p>
    <w:p w14:paraId="4A10EEC9" w14:textId="77777777" w:rsidR="009261D9" w:rsidRPr="00D33F34" w:rsidRDefault="009261D9" w:rsidP="009261D9">
      <w:pPr>
        <w:pStyle w:val="Heading2"/>
        <w:spacing w:before="280" w:after="130" w:line="360" w:lineRule="auto"/>
        <w:jc w:val="both"/>
        <w:rPr>
          <w:rFonts w:asciiTheme="minorHAnsi" w:hAnsiTheme="minorHAnsi" w:cstheme="minorHAnsi"/>
          <w:i/>
          <w:iCs/>
          <w:sz w:val="24"/>
          <w:szCs w:val="24"/>
        </w:rPr>
      </w:pPr>
      <w:r w:rsidRPr="00D33F34">
        <w:rPr>
          <w:rFonts w:asciiTheme="minorHAnsi" w:hAnsiTheme="minorHAnsi" w:cstheme="minorHAnsi"/>
          <w:i/>
          <w:iCs/>
          <w:color w:val="000000"/>
          <w:sz w:val="24"/>
          <w:szCs w:val="24"/>
        </w:rPr>
        <w:t>3.2 Characteristics of included studies</w:t>
      </w:r>
    </w:p>
    <w:p w14:paraId="06A5675F" w14:textId="0BEF1945" w:rsidR="009261D9" w:rsidRPr="00FA5F69" w:rsidRDefault="009261D9" w:rsidP="009261D9">
      <w:pPr>
        <w:spacing w:after="150" w:line="360" w:lineRule="auto"/>
        <w:jc w:val="both"/>
        <w:rPr>
          <w:rFonts w:asciiTheme="minorHAnsi" w:hAnsiTheme="minorHAnsi" w:cstheme="minorHAnsi"/>
        </w:rPr>
        <w:sectPr w:rsidR="009261D9" w:rsidRPr="00FA5F69" w:rsidSect="009261D9">
          <w:pgSz w:w="12240" w:h="15840"/>
          <w:pgMar w:top="1440" w:right="1440" w:bottom="1440" w:left="1440" w:header="720" w:footer="720" w:gutter="0"/>
          <w:cols w:space="720"/>
          <w:docGrid w:linePitch="360"/>
        </w:sectPr>
      </w:pPr>
      <w:r>
        <w:rPr>
          <w:rFonts w:asciiTheme="minorHAnsi" w:hAnsiTheme="minorHAnsi" w:cstheme="minorHAnsi"/>
          <w:color w:val="000000"/>
        </w:rPr>
        <w:t xml:space="preserve">The randomised trials were published in 2025 and 2026 and the cohort studies between 2016 and 2025. Studies were conducted across Europe, Asia, and the Middle East. All studies except the two trials were retrospective, and two of the cohorts contributed propensity-score-matched subgroups to the pooled analyses [7, 8]. All studies enrolled adults receiving </w:t>
      </w:r>
      <w:proofErr w:type="spellStart"/>
      <w:r>
        <w:rPr>
          <w:rFonts w:asciiTheme="minorHAnsi" w:hAnsiTheme="minorHAnsi" w:cstheme="minorHAnsi"/>
          <w:color w:val="000000"/>
        </w:rPr>
        <w:t>veno</w:t>
      </w:r>
      <w:proofErr w:type="spellEnd"/>
      <w:r>
        <w:rPr>
          <w:rFonts w:asciiTheme="minorHAnsi" w:hAnsiTheme="minorHAnsi" w:cstheme="minorHAnsi"/>
          <w:color w:val="000000"/>
        </w:rPr>
        <w:t xml:space="preserve">-arterial extracorporeal membrane oxygenation or extracorporeal cardiopulmonary resuscitation for refractory cardiogenic shock or refractory cardiac arrest.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was given as a continuous infusion in every study, most commonly at 0.1 to 0.2 </w:t>
      </w:r>
      <w:proofErr w:type="spellStart"/>
      <w:r>
        <w:rPr>
          <w:rFonts w:asciiTheme="minorHAnsi" w:hAnsiTheme="minorHAnsi" w:cstheme="minorHAnsi"/>
          <w:color w:val="000000"/>
        </w:rPr>
        <w:t>μg</w:t>
      </w:r>
      <w:proofErr w:type="spellEnd"/>
      <w:r>
        <w:rPr>
          <w:rFonts w:asciiTheme="minorHAnsi" w:hAnsiTheme="minorHAnsi" w:cstheme="minorHAnsi"/>
          <w:color w:val="000000"/>
        </w:rPr>
        <w:t>/kg/min, with the timing of initiation ranging from early post-cannulation administration to administration in the peri-weaning period. Control groups received a matched placebo infusion in the two randomised trials, standard care with conventional vasoactive and inotropic agents in most cohorts, and milrinone as an active comparator in one study [9]. Follow-up ranged from index hospitalisation to one year. Baseline characteristics of the included studies are summarised in the study-characteristics table (Figure 2)</w:t>
      </w:r>
    </w:p>
    <w:p w14:paraId="042D4C2B" w14:textId="77777777" w:rsidR="009261D9" w:rsidRPr="00D33F34" w:rsidRDefault="009261D9" w:rsidP="009261D9">
      <w:pPr>
        <w:pStyle w:val="Heading2"/>
        <w:spacing w:before="280" w:after="130" w:line="360" w:lineRule="auto"/>
        <w:jc w:val="both"/>
        <w:rPr>
          <w:rFonts w:asciiTheme="minorHAnsi" w:hAnsiTheme="minorHAnsi" w:cstheme="minorHAnsi"/>
          <w:i/>
          <w:iCs/>
          <w:sz w:val="24"/>
          <w:szCs w:val="24"/>
        </w:rPr>
      </w:pPr>
      <w:r w:rsidRPr="00D33F34">
        <w:rPr>
          <w:rFonts w:asciiTheme="minorHAnsi" w:hAnsiTheme="minorHAnsi" w:cstheme="minorHAnsi"/>
          <w:i/>
          <w:iCs/>
          <w:color w:val="000000"/>
          <w:sz w:val="24"/>
          <w:szCs w:val="24"/>
        </w:rPr>
        <w:lastRenderedPageBreak/>
        <w:t>3.3 Quality assessment of included studies</w:t>
      </w:r>
    </w:p>
    <w:p w14:paraId="58CFAE5D" w14:textId="77777777" w:rsidR="009261D9" w:rsidRPr="009C567F" w:rsidRDefault="009261D9" w:rsidP="009261D9">
      <w:pPr>
        <w:spacing w:after="150" w:line="360" w:lineRule="auto"/>
        <w:jc w:val="both"/>
        <w:rPr>
          <w:rFonts w:asciiTheme="minorHAnsi" w:hAnsiTheme="minorHAnsi" w:cstheme="minorHAnsi"/>
        </w:rPr>
      </w:pPr>
      <w:r>
        <w:rPr>
          <w:rFonts w:asciiTheme="minorHAnsi" w:hAnsiTheme="minorHAnsi" w:cstheme="minorHAnsi"/>
          <w:color w:val="000000"/>
        </w:rPr>
        <w:t>Randomised trials</w:t>
      </w:r>
      <w:r>
        <w:rPr>
          <w:rFonts w:asciiTheme="minorHAnsi" w:hAnsiTheme="minorHAnsi" w:cstheme="minorHAnsi"/>
          <w:i/>
          <w:iCs/>
          <w:color w:val="000000"/>
        </w:rPr>
        <w:t xml:space="preserve">: </w:t>
      </w:r>
      <w:r>
        <w:rPr>
          <w:rFonts w:asciiTheme="minorHAnsi" w:hAnsiTheme="minorHAnsi" w:cstheme="minorHAnsi"/>
          <w:color w:val="000000"/>
        </w:rPr>
        <w:t xml:space="preserve">Assessment with </w:t>
      </w:r>
      <w:proofErr w:type="spellStart"/>
      <w:r>
        <w:rPr>
          <w:rFonts w:asciiTheme="minorHAnsi" w:hAnsiTheme="minorHAnsi" w:cstheme="minorHAnsi"/>
          <w:color w:val="000000"/>
        </w:rPr>
        <w:t>RoB</w:t>
      </w:r>
      <w:proofErr w:type="spellEnd"/>
      <w:r>
        <w:rPr>
          <w:rFonts w:asciiTheme="minorHAnsi" w:hAnsiTheme="minorHAnsi" w:cstheme="minorHAnsi"/>
          <w:color w:val="000000"/>
        </w:rPr>
        <w:t xml:space="preserve"> 2.0 identified low risk of bias in both trials, with a low-risk judgement in each of the five domains (see the accompanying risk-of-bias summary).</w:t>
      </w:r>
    </w:p>
    <w:p w14:paraId="32610E16" w14:textId="77777777" w:rsidR="009261D9" w:rsidRPr="009C567F" w:rsidRDefault="009261D9" w:rsidP="009261D9">
      <w:pPr>
        <w:spacing w:after="150" w:line="360" w:lineRule="auto"/>
        <w:jc w:val="both"/>
        <w:rPr>
          <w:rFonts w:asciiTheme="minorHAnsi" w:hAnsiTheme="minorHAnsi" w:cstheme="minorHAnsi"/>
        </w:rPr>
      </w:pPr>
      <w:r>
        <w:rPr>
          <w:rFonts w:asciiTheme="minorHAnsi" w:hAnsiTheme="minorHAnsi" w:cstheme="minorHAnsi"/>
          <w:color w:val="000000"/>
        </w:rPr>
        <w:t>Cohort studies</w:t>
      </w:r>
      <w:r>
        <w:rPr>
          <w:rFonts w:asciiTheme="minorHAnsi" w:hAnsiTheme="minorHAnsi" w:cstheme="minorHAnsi"/>
          <w:i/>
          <w:iCs/>
          <w:color w:val="000000"/>
        </w:rPr>
        <w:t xml:space="preserve">: </w:t>
      </w:r>
      <w:r>
        <w:rPr>
          <w:rFonts w:asciiTheme="minorHAnsi" w:hAnsiTheme="minorHAnsi" w:cstheme="minorHAnsi"/>
          <w:color w:val="000000"/>
        </w:rPr>
        <w:t>Quality was assessed with the Newcastle-Ottawa Scale (NOS); all twelve non-randomised studies were rated high quality (7 to 9 stars), with six scoring the maximum 9 stars, five scoring 8 and one scoring 7. Star loss occurred almost exclusively in the comparability domain, where studies adjusted for one rather than two prespecified confounders (see the accompanying quality assessment table).</w:t>
      </w:r>
    </w:p>
    <w:p w14:paraId="506635D6" w14:textId="77777777" w:rsidR="009261D9" w:rsidRPr="00D33F34" w:rsidRDefault="009261D9" w:rsidP="009261D9">
      <w:pPr>
        <w:pStyle w:val="Heading2"/>
        <w:spacing w:before="280" w:after="130" w:line="360" w:lineRule="auto"/>
        <w:jc w:val="both"/>
        <w:rPr>
          <w:rFonts w:asciiTheme="minorHAnsi" w:hAnsiTheme="minorHAnsi" w:cstheme="minorHAnsi"/>
          <w:i/>
          <w:iCs/>
        </w:rPr>
      </w:pPr>
      <w:r w:rsidRPr="00D33F34">
        <w:rPr>
          <w:rFonts w:asciiTheme="minorHAnsi" w:hAnsiTheme="minorHAnsi" w:cstheme="minorHAnsi"/>
          <w:i/>
          <w:iCs/>
          <w:color w:val="000000"/>
        </w:rPr>
        <w:t>3.4 Results of meta-analysis</w:t>
      </w:r>
    </w:p>
    <w:p w14:paraId="7C2C3665" w14:textId="77777777" w:rsidR="009261D9" w:rsidRPr="00FA5F69" w:rsidRDefault="009261D9" w:rsidP="009261D9">
      <w:pPr>
        <w:spacing w:after="150" w:line="360" w:lineRule="auto"/>
        <w:jc w:val="both"/>
        <w:rPr>
          <w:rFonts w:asciiTheme="minorHAnsi" w:hAnsiTheme="minorHAnsi" w:cstheme="minorHAnsi"/>
        </w:rPr>
      </w:pPr>
      <w:r>
        <w:rPr>
          <w:rFonts w:asciiTheme="minorHAnsi" w:hAnsiTheme="minorHAnsi" w:cstheme="minorHAnsi"/>
          <w:color w:val="000000"/>
        </w:rPr>
        <w:t>Pooled effect estimates, the number of contributing participants and studies, and the GRADE certainty rating for every outcome are summarised in the GRADE evidence profile.</w:t>
      </w:r>
    </w:p>
    <w:p w14:paraId="472FB0DC" w14:textId="77777777" w:rsidR="009261D9" w:rsidRPr="00D33F34" w:rsidRDefault="009261D9" w:rsidP="009261D9">
      <w:pPr>
        <w:pStyle w:val="Heading3"/>
        <w:spacing w:before="280" w:after="130" w:line="360" w:lineRule="auto"/>
        <w:jc w:val="both"/>
        <w:rPr>
          <w:rFonts w:asciiTheme="minorHAnsi" w:hAnsiTheme="minorHAnsi" w:cstheme="minorHAnsi"/>
          <w:i/>
          <w:iCs/>
        </w:rPr>
      </w:pPr>
      <w:r w:rsidRPr="00D33F34">
        <w:rPr>
          <w:rFonts w:asciiTheme="minorHAnsi" w:hAnsiTheme="minorHAnsi" w:cstheme="minorHAnsi"/>
          <w:i/>
          <w:iCs/>
          <w:color w:val="000000"/>
        </w:rPr>
        <w:t>3.4.1 Primary outcomes</w:t>
      </w:r>
    </w:p>
    <w:p w14:paraId="0BA0BE9E" w14:textId="6A649121" w:rsidR="009261D9" w:rsidRPr="00FA5F69" w:rsidRDefault="009261D9" w:rsidP="009261D9">
      <w:pPr>
        <w:spacing w:after="150" w:line="360" w:lineRule="auto"/>
        <w:jc w:val="both"/>
        <w:rPr>
          <w:rFonts w:asciiTheme="minorHAnsi" w:hAnsiTheme="minorHAnsi" w:cstheme="minorHAnsi"/>
        </w:rPr>
      </w:pPr>
      <w:r>
        <w:rPr>
          <w:rFonts w:asciiTheme="minorHAnsi" w:hAnsiTheme="minorHAnsi" w:cstheme="minorHAnsi"/>
          <w:b/>
          <w:bCs/>
          <w:color w:val="000000"/>
        </w:rPr>
        <w:t>All-cause mortality (in-hospital or within 30 days)</w:t>
      </w:r>
      <w:r w:rsidR="00083D16">
        <w:rPr>
          <w:rFonts w:asciiTheme="minorHAnsi" w:hAnsiTheme="minorHAnsi" w:cstheme="minorHAnsi"/>
          <w:b/>
          <w:bCs/>
          <w:color w:val="000000"/>
        </w:rPr>
        <w:t>:</w:t>
      </w:r>
      <w:r>
        <w:rPr>
          <w:rFonts w:asciiTheme="minorHAnsi" w:hAnsiTheme="minorHAnsi" w:cstheme="minorHAnsi"/>
          <w:i/>
          <w:iCs/>
          <w:color w:val="000000"/>
        </w:rPr>
        <w:t xml:space="preserve"> </w:t>
      </w:r>
      <w:r>
        <w:rPr>
          <w:rFonts w:asciiTheme="minorHAnsi" w:hAnsiTheme="minorHAnsi" w:cstheme="minorHAnsi"/>
          <w:color w:val="000000"/>
        </w:rPr>
        <w:t xml:space="preserve">Eleven studies reported early all-cause mortality in 1,311 patients. Mortality was significantly lower in the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group than in control (RR 0.86, 95% CI 0.74 to 0.99; p = 0.03, I² = 3%), corresponding to a 14% relative risk reduction. Certainty of evidence was moderate (see the corresponding forest plot). In a prespecified subgroup analysis by study design, the point estimate was identical in the two randomised trials (RR 0.85, 95% CI 0.40 to 1.79; p = 0.67, I² = 61%) and in the nine observational studies (RR 0.85, 95% CI 0.73 to 0.98; p = 0.03, I² = 0%), with no difference between subgroups (p = 1.00), although statistical significance was reached only in the observational stratum (see the corresponding subgroup forest plot).</w:t>
      </w:r>
    </w:p>
    <w:p w14:paraId="30BD6CF2" w14:textId="0D605C54" w:rsidR="009261D9" w:rsidRPr="00FA5F69" w:rsidRDefault="009261D9" w:rsidP="009261D9">
      <w:pPr>
        <w:spacing w:after="150" w:line="360" w:lineRule="auto"/>
        <w:jc w:val="both"/>
        <w:rPr>
          <w:rFonts w:asciiTheme="minorHAnsi" w:hAnsiTheme="minorHAnsi" w:cstheme="minorHAnsi"/>
        </w:rPr>
      </w:pPr>
      <w:r>
        <w:rPr>
          <w:rFonts w:asciiTheme="minorHAnsi" w:hAnsiTheme="minorHAnsi" w:cstheme="minorHAnsi"/>
          <w:b/>
          <w:bCs/>
          <w:color w:val="000000"/>
        </w:rPr>
        <w:t>Successful weaning from mechanical circulatory support</w:t>
      </w:r>
      <w:r w:rsidR="00083D16">
        <w:rPr>
          <w:rFonts w:asciiTheme="minorHAnsi" w:hAnsiTheme="minorHAnsi" w:cstheme="minorHAnsi"/>
          <w:i/>
          <w:iCs/>
          <w:color w:val="000000"/>
        </w:rPr>
        <w:t>:</w:t>
      </w:r>
      <w:r>
        <w:rPr>
          <w:rFonts w:asciiTheme="minorHAnsi" w:hAnsiTheme="minorHAnsi" w:cstheme="minorHAnsi"/>
          <w:i/>
          <w:iCs/>
          <w:color w:val="000000"/>
        </w:rPr>
        <w:t xml:space="preserve"> </w:t>
      </w:r>
      <w:r>
        <w:rPr>
          <w:rFonts w:asciiTheme="minorHAnsi" w:hAnsiTheme="minorHAnsi" w:cstheme="minorHAnsi"/>
          <w:color w:val="000000"/>
        </w:rPr>
        <w:t xml:space="preserve">Twelve studies reported weaning success in 1,449 patients. Weaning was significantly more likely with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than with control (RR 1.30, 95% CI 1.14 to 1.48; p = 0.0001, I² = 59%). Both randomised trials returned exactly null estimates (Combes 2025, RR 1.00, 95% CI 0.83 to 1.21; </w:t>
      </w:r>
      <w:proofErr w:type="spellStart"/>
      <w:r>
        <w:rPr>
          <w:rFonts w:asciiTheme="minorHAnsi" w:hAnsiTheme="minorHAnsi" w:cstheme="minorHAnsi"/>
          <w:color w:val="000000"/>
        </w:rPr>
        <w:t>Guinot</w:t>
      </w:r>
      <w:proofErr w:type="spellEnd"/>
      <w:r>
        <w:rPr>
          <w:rFonts w:asciiTheme="minorHAnsi" w:hAnsiTheme="minorHAnsi" w:cstheme="minorHAnsi"/>
          <w:color w:val="000000"/>
        </w:rPr>
        <w:t xml:space="preserve"> 2026, RR 1.00, 95% CI </w:t>
      </w:r>
      <w:r>
        <w:rPr>
          <w:rFonts w:asciiTheme="minorHAnsi" w:hAnsiTheme="minorHAnsi" w:cstheme="minorHAnsi"/>
          <w:color w:val="000000"/>
        </w:rPr>
        <w:lastRenderedPageBreak/>
        <w:t>0.78 to 1.29), so the pooled benefit derived entirely from the observational studies. Certainty was low, with serious concerns regarding inconsistency (see the corresponding forest plot).</w:t>
      </w:r>
    </w:p>
    <w:p w14:paraId="6E094692" w14:textId="77777777" w:rsidR="009261D9" w:rsidRPr="00083D16" w:rsidRDefault="009261D9" w:rsidP="009261D9">
      <w:pPr>
        <w:pStyle w:val="Heading3"/>
        <w:spacing w:before="280" w:after="130" w:line="360" w:lineRule="auto"/>
        <w:jc w:val="both"/>
        <w:rPr>
          <w:rFonts w:asciiTheme="minorHAnsi" w:hAnsiTheme="minorHAnsi" w:cstheme="minorHAnsi"/>
          <w:i/>
          <w:iCs/>
        </w:rPr>
      </w:pPr>
      <w:r w:rsidRPr="00083D16">
        <w:rPr>
          <w:rFonts w:asciiTheme="minorHAnsi" w:hAnsiTheme="minorHAnsi" w:cstheme="minorHAnsi"/>
          <w:i/>
          <w:iCs/>
          <w:color w:val="000000"/>
        </w:rPr>
        <w:t>3.4.2 Secondary outcomes</w:t>
      </w:r>
    </w:p>
    <w:p w14:paraId="74E533E4" w14:textId="1091F339" w:rsidR="009261D9" w:rsidRPr="009C567F" w:rsidRDefault="009261D9" w:rsidP="009261D9">
      <w:pPr>
        <w:spacing w:after="150" w:line="360" w:lineRule="auto"/>
        <w:jc w:val="both"/>
        <w:rPr>
          <w:rFonts w:asciiTheme="minorHAnsi" w:hAnsiTheme="minorHAnsi" w:cstheme="minorHAnsi"/>
        </w:rPr>
      </w:pPr>
      <w:r>
        <w:rPr>
          <w:rFonts w:asciiTheme="minorHAnsi" w:hAnsiTheme="minorHAnsi" w:cstheme="minorHAnsi"/>
          <w:b/>
          <w:bCs/>
          <w:color w:val="000000"/>
        </w:rPr>
        <w:t>Duration of mechanical circulatory support</w:t>
      </w:r>
      <w:r w:rsidR="00083D16">
        <w:rPr>
          <w:rFonts w:asciiTheme="minorHAnsi" w:hAnsiTheme="minorHAnsi" w:cstheme="minorHAnsi"/>
          <w:i/>
          <w:iCs/>
          <w:color w:val="000000"/>
        </w:rPr>
        <w:t>:</w:t>
      </w:r>
      <w:r>
        <w:rPr>
          <w:rFonts w:asciiTheme="minorHAnsi" w:hAnsiTheme="minorHAnsi" w:cstheme="minorHAnsi"/>
          <w:i/>
          <w:iCs/>
          <w:color w:val="000000"/>
        </w:rPr>
        <w:t xml:space="preserve"> </w:t>
      </w:r>
      <w:r>
        <w:rPr>
          <w:rFonts w:asciiTheme="minorHAnsi" w:hAnsiTheme="minorHAnsi" w:cstheme="minorHAnsi"/>
          <w:color w:val="000000"/>
        </w:rPr>
        <w:t xml:space="preserve">Seven studies contributed analysable data. In the overall analysis, support duration was longer with </w:t>
      </w:r>
      <w:proofErr w:type="spellStart"/>
      <w:proofErr w:type="gramStart"/>
      <w:r>
        <w:rPr>
          <w:rFonts w:asciiTheme="minorHAnsi" w:hAnsiTheme="minorHAnsi" w:cstheme="minorHAnsi"/>
          <w:color w:val="000000"/>
        </w:rPr>
        <w:t>levosimendan</w:t>
      </w:r>
      <w:proofErr w:type="spellEnd"/>
      <w:proofErr w:type="gramEnd"/>
      <w:r>
        <w:rPr>
          <w:rFonts w:asciiTheme="minorHAnsi" w:hAnsiTheme="minorHAnsi" w:cstheme="minorHAnsi"/>
          <w:color w:val="000000"/>
        </w:rPr>
        <w:t xml:space="preserve"> but the difference was not statistically significant (MD +1.88 days, 95% CI −0.05 to 3.81; P = 0.06), with extreme heterogeneity (I² = 88%) driven by opposing designs. Stratification by design showed the six observational cohorts were concordant and significant (MD +2.66 days, 95% CI 1.55 to 3.78; I² = 45%), whereas the single randomized trial (Combes) reported support 1.67 days shorter with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(MD −1.67 days, 95% CI −2.77 to −0.56); the test for subgroup difference was significant (χ² = 29.33, P &lt; 0.00001). Certainty was low (see the corresponding combined and subgroup forest plots).</w:t>
      </w:r>
    </w:p>
    <w:p w14:paraId="18049E8D" w14:textId="2C87A503" w:rsidR="009261D9" w:rsidRPr="009C567F" w:rsidRDefault="009261D9" w:rsidP="009261D9">
      <w:pPr>
        <w:spacing w:after="150" w:line="360" w:lineRule="auto"/>
        <w:jc w:val="both"/>
        <w:rPr>
          <w:rFonts w:asciiTheme="minorHAnsi" w:hAnsiTheme="minorHAnsi" w:cstheme="minorHAnsi"/>
        </w:rPr>
      </w:pPr>
      <w:r>
        <w:rPr>
          <w:rFonts w:asciiTheme="minorHAnsi" w:hAnsiTheme="minorHAnsi" w:cstheme="minorHAnsi"/>
          <w:b/>
          <w:bCs/>
          <w:color w:val="000000"/>
        </w:rPr>
        <w:t>Intensive care unit</w:t>
      </w:r>
      <w:r>
        <w:rPr>
          <w:rFonts w:asciiTheme="minorHAnsi" w:hAnsiTheme="minorHAnsi" w:cstheme="minorHAnsi"/>
          <w:b/>
          <w:bCs/>
          <w:i/>
          <w:iCs/>
          <w:color w:val="000000"/>
        </w:rPr>
        <w:t xml:space="preserve"> length of stay</w:t>
      </w:r>
      <w:r w:rsidR="00083D16">
        <w:rPr>
          <w:rFonts w:asciiTheme="minorHAnsi" w:hAnsiTheme="minorHAnsi" w:cstheme="minorHAnsi"/>
          <w:i/>
          <w:iCs/>
          <w:color w:val="000000"/>
        </w:rPr>
        <w:t>:</w:t>
      </w:r>
      <w:r>
        <w:rPr>
          <w:rFonts w:asciiTheme="minorHAnsi" w:hAnsiTheme="minorHAnsi" w:cstheme="minorHAnsi"/>
          <w:i/>
          <w:iCs/>
          <w:color w:val="000000"/>
        </w:rPr>
        <w:t xml:space="preserve"> </w:t>
      </w:r>
      <w:r>
        <w:rPr>
          <w:rFonts w:asciiTheme="minorHAnsi" w:hAnsiTheme="minorHAnsi" w:cstheme="minorHAnsi"/>
          <w:color w:val="000000"/>
        </w:rPr>
        <w:t xml:space="preserve">Six studies reported intensive care unit length of stay in 731 patients. In the overall analysis, stay was longer with </w:t>
      </w:r>
      <w:proofErr w:type="spellStart"/>
      <w:proofErr w:type="gramStart"/>
      <w:r>
        <w:rPr>
          <w:rFonts w:asciiTheme="minorHAnsi" w:hAnsiTheme="minorHAnsi" w:cstheme="minorHAnsi"/>
          <w:color w:val="000000"/>
        </w:rPr>
        <w:t>levosimendan</w:t>
      </w:r>
      <w:proofErr w:type="spellEnd"/>
      <w:proofErr w:type="gramEnd"/>
      <w:r>
        <w:rPr>
          <w:rFonts w:asciiTheme="minorHAnsi" w:hAnsiTheme="minorHAnsi" w:cstheme="minorHAnsi"/>
          <w:color w:val="000000"/>
        </w:rPr>
        <w:t xml:space="preserve"> but the difference did not reach significance (MD +3.94 days, 95% CI −0.09 to 7.97; P = 0.06, I² = 82%). After exclusion of the two outlying studies (Jacky and Combes), the four remaining cohorts were concordant and significant (MD +2.63 days, 95% CI 0.66 to 4.59; I² = 0%; P = 0.009). Certainty was low (see the corresponding forest plot).</w:t>
      </w:r>
    </w:p>
    <w:p w14:paraId="04435048" w14:textId="77777777" w:rsidR="009261D9" w:rsidRPr="009C567F" w:rsidRDefault="009261D9" w:rsidP="009261D9">
      <w:pPr>
        <w:spacing w:after="150" w:line="360" w:lineRule="auto"/>
        <w:jc w:val="both"/>
        <w:rPr>
          <w:rFonts w:asciiTheme="minorHAnsi" w:hAnsiTheme="minorHAnsi" w:cstheme="minorHAnsi"/>
        </w:rPr>
      </w:pPr>
      <w:r>
        <w:rPr>
          <w:rFonts w:asciiTheme="minorHAnsi" w:hAnsiTheme="minorHAnsi" w:cstheme="minorHAnsi"/>
          <w:color w:val="000000"/>
        </w:rPr>
        <w:t xml:space="preserve">A sensitivity analysis was performed for this outcome because of the substantial heterogeneity observed when all six eligible studies were included. Combes 2025 was the only study reporting a shorter stay with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and Jacky 2018 reported a difference markedly larger than any other study, the two most plausible sources of inconsistency. Following their exclusion, four studies and 463 patients </w:t>
      </w:r>
      <w:proofErr w:type="gramStart"/>
      <w:r>
        <w:rPr>
          <w:rFonts w:asciiTheme="minorHAnsi" w:hAnsiTheme="minorHAnsi" w:cstheme="minorHAnsi"/>
          <w:color w:val="000000"/>
        </w:rPr>
        <w:t>remained</w:t>
      </w:r>
      <w:proofErr w:type="gramEnd"/>
      <w:r>
        <w:rPr>
          <w:rFonts w:asciiTheme="minorHAnsi" w:hAnsiTheme="minorHAnsi" w:cstheme="minorHAnsi"/>
          <w:color w:val="000000"/>
        </w:rPr>
        <w:t xml:space="preserve"> and the pooled estimate was more precise and remained significant (MD +2.63 days, 95% CI 0.66 to 4.59; P = 0.009), with heterogeneity eliminated (I² = 0%), supporting the decision to perform the sensitivity analysis (see the corresponding sensitivity analysis forest plot).</w:t>
      </w:r>
    </w:p>
    <w:p w14:paraId="256B9175" w14:textId="19BC3D64" w:rsidR="009261D9" w:rsidRPr="009C567F" w:rsidRDefault="009261D9" w:rsidP="009261D9">
      <w:pPr>
        <w:spacing w:after="150" w:line="360" w:lineRule="auto"/>
        <w:jc w:val="both"/>
        <w:rPr>
          <w:rFonts w:asciiTheme="minorHAnsi" w:hAnsiTheme="minorHAnsi" w:cstheme="minorHAnsi"/>
        </w:rPr>
      </w:pPr>
      <w:r w:rsidRPr="00083D16">
        <w:rPr>
          <w:rFonts w:asciiTheme="minorHAnsi" w:hAnsiTheme="minorHAnsi" w:cstheme="minorHAnsi"/>
          <w:b/>
          <w:bCs/>
          <w:color w:val="000000"/>
        </w:rPr>
        <w:lastRenderedPageBreak/>
        <w:t>Hospital length of</w:t>
      </w:r>
      <w:r w:rsidRPr="00083D16">
        <w:rPr>
          <w:rFonts w:asciiTheme="minorHAnsi" w:hAnsiTheme="minorHAnsi" w:cstheme="minorHAnsi"/>
          <w:b/>
          <w:bCs/>
          <w:i/>
          <w:iCs/>
          <w:color w:val="000000"/>
        </w:rPr>
        <w:t xml:space="preserve"> </w:t>
      </w:r>
      <w:r w:rsidRPr="00083D16">
        <w:rPr>
          <w:rFonts w:asciiTheme="minorHAnsi" w:hAnsiTheme="minorHAnsi" w:cstheme="minorHAnsi"/>
          <w:b/>
          <w:bCs/>
          <w:color w:val="000000"/>
        </w:rPr>
        <w:t>sta</w:t>
      </w:r>
      <w:r w:rsidRPr="00083D16">
        <w:rPr>
          <w:rFonts w:asciiTheme="minorHAnsi" w:hAnsiTheme="minorHAnsi" w:cstheme="minorHAnsi"/>
          <w:b/>
          <w:bCs/>
          <w:i/>
          <w:iCs/>
          <w:color w:val="000000"/>
        </w:rPr>
        <w:t>y</w:t>
      </w:r>
      <w:r w:rsidR="00083D16">
        <w:rPr>
          <w:rFonts w:asciiTheme="minorHAnsi" w:hAnsiTheme="minorHAnsi" w:cstheme="minorHAnsi"/>
          <w:i/>
          <w:iCs/>
          <w:color w:val="000000"/>
        </w:rPr>
        <w:t>:</w:t>
      </w:r>
      <w:r>
        <w:rPr>
          <w:rFonts w:asciiTheme="minorHAnsi" w:hAnsiTheme="minorHAnsi" w:cstheme="minorHAnsi"/>
          <w:i/>
          <w:iCs/>
          <w:color w:val="000000"/>
        </w:rPr>
        <w:t xml:space="preserve"> </w:t>
      </w:r>
      <w:r>
        <w:rPr>
          <w:rFonts w:asciiTheme="minorHAnsi" w:hAnsiTheme="minorHAnsi" w:cstheme="minorHAnsi"/>
          <w:color w:val="000000"/>
        </w:rPr>
        <w:t xml:space="preserve">Six studies reported hospital length of stay in 735 patients. There was no significant difference between groups, although the estimate numerically favoured control (MD +4.45 days, 95% CI −2.47 to 11.36; p = 0.21, I² = 87%). Subgroup analysis by design did not resolve the heterogeneity, and the test for subgroup differences was significant (p = 0.0008), the discrepancy being driven by Combes 2025, the only study reporting a shorter hospital stay in the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arm. Certainty was very low (see the corresponding combined and subgroup forest plots).</w:t>
      </w:r>
    </w:p>
    <w:p w14:paraId="2AB7EAEE" w14:textId="77777777" w:rsidR="009261D9" w:rsidRPr="009C567F" w:rsidRDefault="009261D9" w:rsidP="009261D9">
      <w:pPr>
        <w:spacing w:after="150" w:line="360" w:lineRule="auto"/>
        <w:jc w:val="both"/>
        <w:rPr>
          <w:rFonts w:asciiTheme="minorHAnsi" w:hAnsiTheme="minorHAnsi" w:cstheme="minorHAnsi"/>
          <w:color w:val="000000"/>
        </w:rPr>
      </w:pPr>
      <w:r>
        <w:rPr>
          <w:rFonts w:asciiTheme="minorHAnsi" w:hAnsiTheme="minorHAnsi" w:cstheme="minorHAnsi"/>
          <w:color w:val="000000"/>
        </w:rPr>
        <w:t xml:space="preserve">Publication bias was not formally </w:t>
      </w:r>
      <w:proofErr w:type="gramStart"/>
      <w:r>
        <w:rPr>
          <w:rFonts w:asciiTheme="minorHAnsi" w:hAnsiTheme="minorHAnsi" w:cstheme="minorHAnsi"/>
          <w:color w:val="000000"/>
        </w:rPr>
        <w:t>assessed</w:t>
      </w:r>
      <w:proofErr w:type="gramEnd"/>
      <w:r>
        <w:rPr>
          <w:rFonts w:asciiTheme="minorHAnsi" w:hAnsiTheme="minorHAnsi" w:cstheme="minorHAnsi"/>
          <w:color w:val="000000"/>
        </w:rPr>
        <w:t xml:space="preserve"> and funnel plots were not generated, since fewer than ten studies contributed to the majority of analyses, below the threshold at which funnel plot asymmetry can be reliably interpreted.</w:t>
      </w:r>
    </w:p>
    <w:p w14:paraId="6806B65B" w14:textId="77777777" w:rsidR="009261D9" w:rsidRDefault="009261D9" w:rsidP="007C7990">
      <w:pPr>
        <w:spacing w:after="150" w:line="360" w:lineRule="auto"/>
        <w:jc w:val="both"/>
        <w:rPr>
          <w:rFonts w:asciiTheme="minorHAnsi" w:hAnsiTheme="minorHAnsi" w:cstheme="minorHAnsi"/>
          <w:b/>
          <w:bCs/>
          <w:color w:val="000000"/>
          <w:sz w:val="28"/>
          <w:szCs w:val="28"/>
        </w:rPr>
      </w:pPr>
    </w:p>
    <w:p w14:paraId="356F84A0" w14:textId="6EA917E6" w:rsidR="00CA5576" w:rsidRPr="00CA5576" w:rsidRDefault="00CA5576" w:rsidP="007C7990">
      <w:pPr>
        <w:spacing w:after="150" w:line="360" w:lineRule="auto"/>
        <w:jc w:val="both"/>
        <w:rPr>
          <w:rFonts w:asciiTheme="minorHAnsi" w:hAnsiTheme="minorHAnsi" w:cstheme="minorHAnsi"/>
          <w:b/>
          <w:bCs/>
          <w:color w:val="000000"/>
          <w:sz w:val="28"/>
          <w:szCs w:val="28"/>
        </w:rPr>
      </w:pPr>
      <w:r>
        <w:rPr>
          <w:rFonts w:asciiTheme="minorHAnsi" w:hAnsiTheme="minorHAnsi" w:cstheme="minorHAnsi"/>
          <w:b/>
          <w:bCs/>
          <w:color w:val="000000"/>
          <w:sz w:val="28"/>
          <w:szCs w:val="28"/>
        </w:rPr>
        <w:t>Discussion</w:t>
      </w:r>
    </w:p>
    <w:p w14:paraId="17903476" w14:textId="77777777" w:rsidR="00935B1D" w:rsidRPr="000F69BE" w:rsidRDefault="00935B1D" w:rsidP="00935B1D">
      <w:pPr>
        <w:spacing w:after="150" w:line="360" w:lineRule="auto"/>
        <w:jc w:val="both"/>
        <w:rPr>
          <w:color w:val="000000"/>
        </w:rPr>
      </w:pP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is pharmacologically distinct from the other agents used to support the failing heart. As a calcium sensitizer, it augments the responsiveness of cardiac troponin C to calcium and enhances actin–myosin cross-bridge formation, increasing contractility without the concomitant rise in intracellular calcium and myocardial oxygen demand that constrains the catecholaminergic inotropes. [10, 11] Through the opening of ATP-sensitive potassium channels it produces coronary, pulmonary, and systemic vasodilation and exerts anti-ischaemic and cardioprotective effects, [12] and its long-acting metabolite OR-1896 sustains these actions for several days after a single infusion. [13, 14] Inotropy without a proportionate oxygen cost, afterload reduction, and a sustained duration of action together provide the mechanistic rationale for the use of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to promote myocardial recovery and facilitate weaning from mechanical circulatory support.</w:t>
      </w:r>
    </w:p>
    <w:p w14:paraId="123940E0" w14:textId="77777777" w:rsidR="00935B1D" w:rsidRPr="00533DE2" w:rsidRDefault="00935B1D" w:rsidP="00935B1D">
      <w:pPr>
        <w:pStyle w:val="NormalWeb"/>
        <w:spacing w:before="0" w:beforeAutospacing="0" w:after="120" w:afterAutospacing="0" w:line="360" w:lineRule="auto"/>
        <w:jc w:val="both"/>
        <w:rPr>
          <w:rFonts w:asciiTheme="minorHAnsi" w:hAnsiTheme="minorHAnsi" w:cstheme="minorHAnsi"/>
          <w:color w:val="000000"/>
        </w:rPr>
      </w:pPr>
      <w:proofErr w:type="gramStart"/>
      <w:r>
        <w:rPr>
          <w:rFonts w:asciiTheme="minorHAnsi" w:hAnsiTheme="minorHAnsi" w:cstheme="minorHAnsi"/>
          <w:color w:val="000000"/>
        </w:rPr>
        <w:t>On the basis of</w:t>
      </w:r>
      <w:proofErr w:type="gramEnd"/>
      <w:r>
        <w:rPr>
          <w:rFonts w:asciiTheme="minorHAnsi" w:hAnsiTheme="minorHAnsi" w:cstheme="minorHAnsi"/>
          <w:color w:val="000000"/>
        </w:rPr>
        <w:t xml:space="preserve"> this rationale and a series of small observational cohorts,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has been adopted widely as an adjunct to facilitate VA-ECMO weaning, and systematic reviews published between 2019 and 2023 reported favorable associations with both weaning and survival. [15, 16, 17, 18, 19] That evidence, however, was almost entirely retrospective and single-center, and no </w:t>
      </w:r>
      <w:r>
        <w:rPr>
          <w:rFonts w:asciiTheme="minorHAnsi" w:hAnsiTheme="minorHAnsi" w:cstheme="minorHAnsi"/>
          <w:color w:val="000000"/>
        </w:rPr>
        <w:lastRenderedPageBreak/>
        <w:t>pharmacological weaning strategy has attained consensus or guideline endorsement. The recent completion of two randomized controlled trials — LEVOECMO and WEANILEVO — has qualified these earlier conclusions, and the present review was undertaken to provide an updated estimate incorporating the randomized evidence alongside the observational literature. [3, 4]</w:t>
      </w:r>
    </w:p>
    <w:p w14:paraId="397A9915" w14:textId="77777777" w:rsidR="00935B1D" w:rsidRPr="000F69BE" w:rsidRDefault="00935B1D" w:rsidP="00935B1D">
      <w:pPr>
        <w:pStyle w:val="NormalWeb"/>
        <w:spacing w:before="0" w:beforeAutospacing="0" w:after="120" w:afterAutospacing="0" w:line="360" w:lineRule="auto"/>
        <w:jc w:val="both"/>
      </w:pPr>
      <w:r>
        <w:rPr>
          <w:rFonts w:asciiTheme="minorHAnsi" w:hAnsiTheme="minorHAnsi" w:cstheme="minorHAnsi"/>
          <w:color w:val="000000"/>
        </w:rPr>
        <w:t xml:space="preserve">Across the two primary and four secondary outcomes, the apparent benefits of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were concentrated in the observational evidence and were attenuated, abolished, or reversed once the analysis was stratified by study design. Of the primary outcomes, early all-cause mortality was significantly lower with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(RR 0.86, 95% CI 0.74 to 0.99; P = 0.03), with negligible heterogeneity (I² = 3%), and successful weaning from mechanical circulatory support was significantly more frequent (RR 1.30, 95% CI 1.14 to 1.48; P = 0.0001), although with substantial heterogeneity (I² = 59%). Among the secondary outcomes, the three time-related measures showed a consistent pattern in which an observational signal of longer support or stay with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was opposed by the single randomized trial. In the overall analyses, the duration of mechanical circulatory support was longer with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without reaching significance (MD +1.88 days, 95% CI −0.05 to 3.81; P = 0.06), as was the intensive care length of stay (MD +3.94 days, 95% CI −0.09 to 7.97; P = 0.06; I² = 82%), whereas the hospital length of stay did not differ significantly (MD +4.45 days, 95% CI −2.47 to 11.36; P = 0.21; I² = 87%); each was marked by extreme heterogeneity reflecting opposing designs. The single safety outcome, arrhythmia, did not differ significantly between groups (RR 1.21, 95% CI 0.74 to 1.99; P = 0.44; I² = 37%). In aggregate, therefore,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was associated with lower early mortality and improved weaning but with a non-significant trend toward longer duration of support and intensive care stay and no reduction in hospital stay; as detailed below, these benefits were largely confined to the non-randomized evidence and are best interpreted </w:t>
      </w:r>
      <w:proofErr w:type="gramStart"/>
      <w:r>
        <w:rPr>
          <w:rFonts w:asciiTheme="minorHAnsi" w:hAnsiTheme="minorHAnsi" w:cstheme="minorHAnsi"/>
          <w:color w:val="000000"/>
        </w:rPr>
        <w:t>in light of</w:t>
      </w:r>
      <w:proofErr w:type="gramEnd"/>
      <w:r>
        <w:rPr>
          <w:rFonts w:asciiTheme="minorHAnsi" w:hAnsiTheme="minorHAnsi" w:cstheme="minorHAnsi"/>
          <w:color w:val="000000"/>
        </w:rPr>
        <w:t xml:space="preserve"> the biases inherent in it.</w:t>
      </w:r>
    </w:p>
    <w:p w14:paraId="2F4F8DF3" w14:textId="77777777" w:rsidR="00935B1D" w:rsidRPr="000F69BE" w:rsidRDefault="00935B1D" w:rsidP="00935B1D">
      <w:pPr>
        <w:pStyle w:val="Heading2"/>
        <w:spacing w:before="160" w:after="60" w:line="360" w:lineRule="auto"/>
        <w:jc w:val="both"/>
        <w:rPr>
          <w:sz w:val="24"/>
          <w:szCs w:val="24"/>
        </w:rPr>
      </w:pPr>
      <w:r>
        <w:rPr>
          <w:rFonts w:asciiTheme="minorHAnsi" w:hAnsiTheme="minorHAnsi" w:cstheme="minorHAnsi"/>
          <w:i/>
          <w:iCs/>
          <w:color w:val="000000"/>
          <w:sz w:val="24"/>
          <w:szCs w:val="24"/>
        </w:rPr>
        <w:t>Bias in the observational evidence</w:t>
      </w:r>
    </w:p>
    <w:p w14:paraId="1A057C85" w14:textId="77777777" w:rsidR="00935B1D" w:rsidRPr="000F69BE" w:rsidRDefault="00935B1D" w:rsidP="00935B1D">
      <w:pPr>
        <w:pStyle w:val="NormalWeb"/>
        <w:spacing w:before="0" w:beforeAutospacing="0" w:after="120" w:afterAutospacing="0" w:line="360" w:lineRule="auto"/>
        <w:jc w:val="both"/>
      </w:pPr>
      <w:r>
        <w:rPr>
          <w:rFonts w:asciiTheme="minorHAnsi" w:hAnsiTheme="minorHAnsi" w:cstheme="minorHAnsi"/>
          <w:color w:val="000000"/>
        </w:rPr>
        <w:t xml:space="preserve">Three recurring features of the observational literature bear on every outcome discussed below and determine how much weight each estimate can support. </w:t>
      </w:r>
      <w:r w:rsidRPr="00533DE2">
        <w:rPr>
          <w:rFonts w:asciiTheme="minorHAnsi" w:hAnsiTheme="minorHAnsi" w:cstheme="minorHAnsi"/>
          <w:b/>
          <w:bCs/>
          <w:color w:val="000000"/>
          <w:lang w:val="en-CA"/>
        </w:rPr>
        <w:t xml:space="preserve">Immortal-time bias: </w:t>
      </w:r>
      <w:proofErr w:type="spellStart"/>
      <w:r>
        <w:rPr>
          <w:rFonts w:asciiTheme="minorHAnsi" w:hAnsiTheme="minorHAnsi" w:cstheme="minorHAnsi"/>
          <w:color w:val="000000"/>
          <w:lang w:val="en-CA"/>
        </w:rPr>
        <w:t>l</w:t>
      </w:r>
      <w:r w:rsidRPr="00533DE2">
        <w:rPr>
          <w:rFonts w:asciiTheme="minorHAnsi" w:hAnsiTheme="minorHAnsi" w:cstheme="minorHAnsi"/>
          <w:color w:val="000000"/>
          <w:lang w:val="en-CA"/>
        </w:rPr>
        <w:t>evosimendan</w:t>
      </w:r>
      <w:proofErr w:type="spellEnd"/>
      <w:r w:rsidRPr="00533DE2">
        <w:rPr>
          <w:rFonts w:asciiTheme="minorHAnsi" w:hAnsiTheme="minorHAnsi" w:cstheme="minorHAnsi"/>
          <w:color w:val="000000"/>
          <w:lang w:val="en-CA"/>
        </w:rPr>
        <w:t xml:space="preserve"> was administered at the treating physician's discretion, a median of one to two days after cannulation, and no cohort adjusted for this interval. Because a patient must survive </w:t>
      </w:r>
      <w:proofErr w:type="gramStart"/>
      <w:r w:rsidRPr="00533DE2">
        <w:rPr>
          <w:rFonts w:asciiTheme="minorHAnsi" w:hAnsiTheme="minorHAnsi" w:cstheme="minorHAnsi"/>
          <w:color w:val="000000"/>
          <w:lang w:val="en-CA"/>
        </w:rPr>
        <w:t>in order to</w:t>
      </w:r>
      <w:proofErr w:type="gramEnd"/>
      <w:r w:rsidRPr="00533DE2">
        <w:rPr>
          <w:rFonts w:asciiTheme="minorHAnsi" w:hAnsiTheme="minorHAnsi" w:cstheme="minorHAnsi"/>
          <w:color w:val="000000"/>
          <w:lang w:val="en-CA"/>
        </w:rPr>
        <w:t xml:space="preserve"> </w:t>
      </w:r>
      <w:r w:rsidRPr="00533DE2">
        <w:rPr>
          <w:rFonts w:asciiTheme="minorHAnsi" w:hAnsiTheme="minorHAnsi" w:cstheme="minorHAnsi"/>
          <w:color w:val="000000"/>
          <w:lang w:val="en-CA"/>
        </w:rPr>
        <w:lastRenderedPageBreak/>
        <w:t>be treated, the treated group is systematically advantaged before any pharmacological effect operates.</w:t>
      </w:r>
      <w:r>
        <w:rPr>
          <w:rFonts w:asciiTheme="minorHAnsi" w:hAnsiTheme="minorHAnsi" w:cstheme="minorHAnsi"/>
          <w:b/>
          <w:bCs/>
          <w:color w:val="000000"/>
          <w:lang w:val="en-CA"/>
        </w:rPr>
        <w:t xml:space="preserve"> </w:t>
      </w:r>
      <w:r>
        <w:rPr>
          <w:rFonts w:asciiTheme="minorHAnsi" w:hAnsiTheme="minorHAnsi" w:cstheme="minorHAnsi"/>
          <w:color w:val="000000"/>
        </w:rPr>
        <w:t xml:space="preserve">As this bias act in a similar direction across cohorts, it reduces rather than increases heterogeneity, and consistency among studies that share it should not be interpreted as evidence of validity. The studies that addressed treatment timing most rigorously yielded estimates closest to the null: </w:t>
      </w:r>
      <w:proofErr w:type="spellStart"/>
      <w:r>
        <w:rPr>
          <w:rFonts w:asciiTheme="minorHAnsi" w:hAnsiTheme="minorHAnsi" w:cstheme="minorHAnsi"/>
          <w:color w:val="000000"/>
        </w:rPr>
        <w:t>Massol</w:t>
      </w:r>
      <w:proofErr w:type="spellEnd"/>
      <w:r>
        <w:rPr>
          <w:rFonts w:asciiTheme="minorHAnsi" w:hAnsiTheme="minorHAnsi" w:cstheme="minorHAnsi"/>
          <w:color w:val="000000"/>
        </w:rPr>
        <w:t xml:space="preserve"> et al. (target-trial emulation) found no effect on mortality at 30 days or one year, Paulo et al. (matching on time from ECMO initiation) found no survival or weaning benefit, and Guilherme et al. (propensity scoring, which addresses confounding by indication but not immortal-time bias) found only a non-significant trend. [20, 21, 22, 23] </w:t>
      </w:r>
      <w:r>
        <w:rPr>
          <w:rFonts w:asciiTheme="minorHAnsi" w:hAnsiTheme="minorHAnsi" w:cstheme="minorHAnsi"/>
          <w:b/>
          <w:bCs/>
          <w:color w:val="000000"/>
        </w:rPr>
        <w:t>Definitional variability:</w:t>
      </w:r>
      <w:r>
        <w:rPr>
          <w:rFonts w:asciiTheme="minorHAnsi" w:hAnsiTheme="minorHAnsi" w:cstheme="minorHAnsi"/>
          <w:color w:val="000000"/>
        </w:rPr>
        <w:t xml:space="preserve"> successful weaning was defined inconsistently, ranging from survival for 24 hours after decannulation to survival of the entire admission; more permissive definitions classify patients who die shortly after decannulation as successes, which favors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because it was administered predominantly to sicker patients. [24, 25, 9] </w:t>
      </w:r>
      <w:r>
        <w:rPr>
          <w:rFonts w:asciiTheme="minorHAnsi" w:hAnsiTheme="minorHAnsi" w:cstheme="minorHAnsi"/>
          <w:b/>
          <w:bCs/>
          <w:color w:val="000000"/>
        </w:rPr>
        <w:t>Selection by severity:</w:t>
      </w:r>
      <w:r>
        <w:rPr>
          <w:rFonts w:asciiTheme="minorHAnsi" w:hAnsiTheme="minorHAnsi" w:cstheme="minorHAnsi"/>
          <w:color w:val="000000"/>
        </w:rPr>
        <w:t xml:space="preserve">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was administered preferentially to sicker patients — for example, ejection fractions of 17.9% versus 31.3% in Alonso-Fernández-</w:t>
      </w:r>
      <w:proofErr w:type="spellStart"/>
      <w:r>
        <w:rPr>
          <w:rFonts w:asciiTheme="minorHAnsi" w:hAnsiTheme="minorHAnsi" w:cstheme="minorHAnsi"/>
          <w:color w:val="000000"/>
        </w:rPr>
        <w:t>Gatta</w:t>
      </w:r>
      <w:proofErr w:type="spellEnd"/>
      <w:r>
        <w:rPr>
          <w:rFonts w:asciiTheme="minorHAnsi" w:hAnsiTheme="minorHAnsi" w:cstheme="minorHAnsi"/>
          <w:color w:val="000000"/>
        </w:rPr>
        <w:t xml:space="preserve"> and 15% versus 30% in Hau — such that comparisons partly reflect baseline severity rather than treatment effect (confounding by indication). [24, 25] This bias disadvantages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whereas immortal-time bias favors it, so within any single cohort the two are partly offsetting and their net effect cannot be determined; the two also demand different analytical remedies, since propensity methods balance baseline severity but leave the timing of treatment unaddressed.</w:t>
      </w:r>
    </w:p>
    <w:p w14:paraId="5F86BA9A" w14:textId="77777777" w:rsidR="00935B1D" w:rsidRPr="000F69BE" w:rsidRDefault="00935B1D" w:rsidP="00935B1D">
      <w:pPr>
        <w:pStyle w:val="Heading2"/>
        <w:spacing w:before="160" w:after="60" w:line="360" w:lineRule="auto"/>
        <w:jc w:val="both"/>
        <w:rPr>
          <w:sz w:val="24"/>
          <w:szCs w:val="24"/>
        </w:rPr>
      </w:pPr>
      <w:r>
        <w:rPr>
          <w:rFonts w:asciiTheme="minorHAnsi" w:hAnsiTheme="minorHAnsi" w:cstheme="minorHAnsi"/>
          <w:i/>
          <w:iCs/>
          <w:color w:val="000000"/>
          <w:sz w:val="24"/>
          <w:szCs w:val="24"/>
        </w:rPr>
        <w:t>Mortality</w:t>
      </w:r>
    </w:p>
    <w:p w14:paraId="4EB1A04D" w14:textId="77777777" w:rsidR="00935B1D" w:rsidRPr="000F69BE" w:rsidRDefault="00935B1D" w:rsidP="00935B1D">
      <w:pPr>
        <w:pStyle w:val="NormalWeb"/>
        <w:spacing w:before="0" w:beforeAutospacing="0" w:after="120" w:afterAutospacing="0" w:line="360" w:lineRule="auto"/>
        <w:jc w:val="both"/>
      </w:pPr>
      <w:r>
        <w:rPr>
          <w:rFonts w:asciiTheme="minorHAnsi" w:hAnsiTheme="minorHAnsi" w:cstheme="minorHAnsi"/>
          <w:color w:val="000000"/>
        </w:rPr>
        <w:t xml:space="preserve">Early all-cause mortality favored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(RR 0.86, 95% CI 0.74 to 0.99; P = 0.03; 11 studies, 461 versus 850 patients), corresponding to a 14% relative reduction. This estimate is more conservative than those of earlier reviews — Zhao et al. reported odds ratios of 0.48 for 30-day and 0.47 for in-hospital mortality, and others reported comparable benefits [15, 16, 17, 18, 19] — for two reasons. First, those reviews expressed results as odds ratios, which overstate the effect relative to risk ratios when the baseline mortality approaches 50%. Second, the present analysis incorporates two randomized trials: Combes numerically favored placebo (RR 1.16; weight 8.1%), whereas </w:t>
      </w:r>
      <w:proofErr w:type="spellStart"/>
      <w:r>
        <w:rPr>
          <w:rFonts w:asciiTheme="minorHAnsi" w:hAnsiTheme="minorHAnsi" w:cstheme="minorHAnsi"/>
          <w:color w:val="000000"/>
        </w:rPr>
        <w:t>Guinot</w:t>
      </w:r>
      <w:proofErr w:type="spellEnd"/>
      <w:r>
        <w:rPr>
          <w:rFonts w:asciiTheme="minorHAnsi" w:hAnsiTheme="minorHAnsi" w:cstheme="minorHAnsi"/>
          <w:color w:val="000000"/>
        </w:rPr>
        <w:t xml:space="preserve">, terminated early after enrolment of 82 of a planned 180 patients, favored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(RR 0.54) but contributed only 3.0% of the weight, with a confidence </w:t>
      </w:r>
      <w:r>
        <w:rPr>
          <w:rFonts w:asciiTheme="minorHAnsi" w:hAnsiTheme="minorHAnsi" w:cstheme="minorHAnsi"/>
          <w:color w:val="000000"/>
        </w:rPr>
        <w:lastRenderedPageBreak/>
        <w:t>interval crossing the null. [3, 4] Heterogeneity was negligible (I² = 3%, compared with 56–70% in previous analyses); subgroup analysis confirmed that this consistency does not arise from a difference between designs, since the two estimates were identical (RR 0.85) with a null test for subgroup difference (P = 1.00) — a pattern more consistent with shared immortal-time bias.</w:t>
      </w:r>
    </w:p>
    <w:p w14:paraId="0F5F9B91" w14:textId="77777777" w:rsidR="00935B1D" w:rsidRPr="00D445DB" w:rsidRDefault="00935B1D" w:rsidP="00935B1D">
      <w:pPr>
        <w:pStyle w:val="Heading2"/>
        <w:spacing w:before="160" w:after="60" w:line="360" w:lineRule="auto"/>
        <w:jc w:val="both"/>
        <w:rPr>
          <w:i/>
          <w:iCs/>
          <w:sz w:val="24"/>
          <w:szCs w:val="24"/>
        </w:rPr>
      </w:pPr>
      <w:r w:rsidRPr="00D445DB">
        <w:rPr>
          <w:rFonts w:asciiTheme="minorHAnsi" w:hAnsiTheme="minorHAnsi" w:cstheme="minorHAnsi"/>
          <w:i/>
          <w:iCs/>
          <w:color w:val="000000"/>
          <w:sz w:val="24"/>
          <w:szCs w:val="24"/>
        </w:rPr>
        <w:t>Weaning from mechanical circulatory support</w:t>
      </w:r>
    </w:p>
    <w:p w14:paraId="61DFCB3C" w14:textId="77777777" w:rsidR="00935B1D" w:rsidRPr="000F69BE" w:rsidRDefault="00935B1D" w:rsidP="00935B1D">
      <w:pPr>
        <w:pStyle w:val="NormalWeb"/>
        <w:spacing w:before="0" w:beforeAutospacing="0" w:after="120" w:afterAutospacing="0" w:line="360" w:lineRule="auto"/>
        <w:jc w:val="both"/>
      </w:pPr>
      <w:r>
        <w:rPr>
          <w:rFonts w:asciiTheme="minorHAnsi" w:hAnsiTheme="minorHAnsi" w:cstheme="minorHAnsi"/>
          <w:color w:val="000000"/>
        </w:rPr>
        <w:t xml:space="preserve">Successful weaning favored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in the overall analysis (RR 1.30, 95% CI 1.14 to 1.48), directionally consistent with Zhao et al. (OR 2.44). [15] Stratification by study design proved the most informative analysis of any outcome in this review. The two randomized trials pooled to an RR of 1.00 (95% CI 0.86 to 1.16; I² = 0%), whereas the ten non-randomized cohorts pooled to an RR of 1.40 (95% CI 1.24 to 1.57; I² = 31%), and the test for subgroup difference was highly significant (χ² = 11.80, </w:t>
      </w:r>
      <w:proofErr w:type="spellStart"/>
      <w:r>
        <w:rPr>
          <w:rFonts w:asciiTheme="minorHAnsi" w:hAnsiTheme="minorHAnsi" w:cstheme="minorHAnsi"/>
          <w:color w:val="000000"/>
        </w:rPr>
        <w:t>df</w:t>
      </w:r>
      <w:proofErr w:type="spellEnd"/>
      <w:r>
        <w:rPr>
          <w:rFonts w:asciiTheme="minorHAnsi" w:hAnsiTheme="minorHAnsi" w:cstheme="minorHAnsi"/>
          <w:color w:val="000000"/>
        </w:rPr>
        <w:t xml:space="preserve"> = 1, P = 0.0006). </w:t>
      </w:r>
      <w:r w:rsidRPr="00D445DB">
        <w:rPr>
          <w:rFonts w:asciiTheme="minorHAnsi" w:hAnsiTheme="minorHAnsi" w:cstheme="minorHAnsi"/>
          <w:color w:val="000000"/>
          <w:lang w:val="en-CA"/>
        </w:rPr>
        <w:t>The confidence intervals do not overlap: the upper randomized bound of 1.16 lies below the lower observational bound of 1.24, so the two estimates are statistically incompatible. Moreover, studies of the same design were closely concordant (I² of 0% and 31%), whereas the combined analysis returned 59%; the pooled inconsistency is therefore attributable almost entirely to the difference between designs</w:t>
      </w:r>
      <w:r>
        <w:rPr>
          <w:rFonts w:asciiTheme="minorHAnsi" w:hAnsiTheme="minorHAnsi" w:cstheme="minorHAnsi"/>
          <w:color w:val="000000"/>
        </w:rPr>
        <w:t xml:space="preserve">. The combined RR of 1.30 therefore represents neither body of evidence, </w:t>
      </w:r>
      <w:proofErr w:type="gramStart"/>
      <w:r>
        <w:rPr>
          <w:rFonts w:asciiTheme="minorHAnsi" w:hAnsiTheme="minorHAnsi" w:cstheme="minorHAnsi"/>
          <w:color w:val="000000"/>
        </w:rPr>
        <w:t>and</w:t>
      </w:r>
      <w:proofErr w:type="gramEnd"/>
      <w:r>
        <w:rPr>
          <w:rFonts w:asciiTheme="minorHAnsi" w:hAnsiTheme="minorHAnsi" w:cstheme="minorHAnsi"/>
          <w:color w:val="000000"/>
        </w:rPr>
        <w:t xml:space="preserve"> the stratified estimates are considered the more meaningful result. Both definitional variability and immortal-time bias operate on weaning — a patient must survive both to receive the drug and to be weaned — and neither operates within a randomized trial, which accounts for the randomized estimate lying at unity.</w:t>
      </w:r>
    </w:p>
    <w:p w14:paraId="6184BA86" w14:textId="77777777" w:rsidR="00935B1D" w:rsidRPr="00D445DB" w:rsidRDefault="00935B1D" w:rsidP="00935B1D">
      <w:pPr>
        <w:pStyle w:val="Heading2"/>
        <w:spacing w:before="160" w:after="60" w:line="360" w:lineRule="auto"/>
        <w:jc w:val="both"/>
        <w:rPr>
          <w:i/>
          <w:iCs/>
          <w:sz w:val="24"/>
          <w:szCs w:val="24"/>
        </w:rPr>
      </w:pPr>
      <w:r w:rsidRPr="00D445DB">
        <w:rPr>
          <w:rFonts w:asciiTheme="minorHAnsi" w:hAnsiTheme="minorHAnsi" w:cstheme="minorHAnsi"/>
          <w:i/>
          <w:iCs/>
          <w:color w:val="000000"/>
          <w:sz w:val="24"/>
          <w:szCs w:val="24"/>
        </w:rPr>
        <w:t>Duration of support and length of stay</w:t>
      </w:r>
    </w:p>
    <w:p w14:paraId="3BF49EF1" w14:textId="77777777" w:rsidR="00935B1D" w:rsidRPr="000F69BE" w:rsidRDefault="00935B1D" w:rsidP="00935B1D">
      <w:pPr>
        <w:pStyle w:val="NormalWeb"/>
        <w:spacing w:before="0" w:beforeAutospacing="0" w:after="120" w:afterAutospacing="0" w:line="360" w:lineRule="auto"/>
        <w:jc w:val="both"/>
      </w:pPr>
      <w:r w:rsidRPr="00D445DB">
        <w:rPr>
          <w:rFonts w:asciiTheme="minorHAnsi" w:hAnsiTheme="minorHAnsi" w:cstheme="minorHAnsi"/>
          <w:color w:val="000000"/>
          <w:lang w:val="en-CA"/>
        </w:rPr>
        <w:t xml:space="preserve">These three outcomes largely re-measure the same underlying quantity, since the duration of support is contained within the intensive care stay and the intensive care stay within the hospital admission. Each exhibited the same pattern: an observational signal of longer support or stay with </w:t>
      </w:r>
      <w:proofErr w:type="spellStart"/>
      <w:r w:rsidRPr="00D445DB">
        <w:rPr>
          <w:rFonts w:asciiTheme="minorHAnsi" w:hAnsiTheme="minorHAnsi" w:cstheme="minorHAnsi"/>
          <w:color w:val="000000"/>
          <w:lang w:val="en-CA"/>
        </w:rPr>
        <w:t>levosimendan</w:t>
      </w:r>
      <w:proofErr w:type="spellEnd"/>
      <w:r w:rsidRPr="00D445DB">
        <w:rPr>
          <w:rFonts w:asciiTheme="minorHAnsi" w:hAnsiTheme="minorHAnsi" w:cstheme="minorHAnsi"/>
          <w:color w:val="000000"/>
          <w:lang w:val="en-CA"/>
        </w:rPr>
        <w:t>, opposed by the single randomized trial.</w:t>
      </w:r>
      <w:r>
        <w:rPr>
          <w:rFonts w:asciiTheme="minorHAnsi" w:hAnsiTheme="minorHAnsi" w:cstheme="minorHAnsi"/>
          <w:color w:val="000000"/>
          <w:lang w:val="en-CA"/>
        </w:rPr>
        <w:t xml:space="preserve"> </w:t>
      </w:r>
      <w:r>
        <w:rPr>
          <w:rFonts w:asciiTheme="minorHAnsi" w:hAnsiTheme="minorHAnsi" w:cstheme="minorHAnsi"/>
          <w:color w:val="000000"/>
        </w:rPr>
        <w:t xml:space="preserve">The duration of support was longer in the overall analysis but not significantly so (MD +1.88 days, 95% CI −0.05 to 3.81; P = 0.06), with substantial heterogeneity (I² = 88%) because the two designs pointed in opposite directions. The six observational cohorts were concordant (MD +2.66 days, 95% CI 1.55 to 3.78; I² = 45%), whereas Combes reported support 1.67 days shorter with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(test for subgroup </w:t>
      </w:r>
      <w:r>
        <w:rPr>
          <w:rFonts w:asciiTheme="minorHAnsi" w:hAnsiTheme="minorHAnsi" w:cstheme="minorHAnsi"/>
          <w:color w:val="000000"/>
        </w:rPr>
        <w:lastRenderedPageBreak/>
        <w:t xml:space="preserve">difference χ² = 29.33, P &lt; 0.00001). The intensive care stay was likewise longer without reaching significance (MD +3.94 days; P = 0.06; I² = 82%), driven by opposing outliers, with the four remaining observational cohorts concordant after exclusion of Jacky and Combes (+2.63 days; I² = 0%; P = 0.009). The hospital stay showed no overall difference (MD +4.45 days; P = 0.21; I² = 87%), a null result produced entirely by Combes — the only randomized trial and the only study favoring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 whose removal raised the estimate to +7.69 days. </w:t>
      </w:r>
      <w:r w:rsidRPr="009B3E29">
        <w:rPr>
          <w:rFonts w:asciiTheme="minorHAnsi" w:hAnsiTheme="minorHAnsi" w:cstheme="minorHAnsi"/>
          <w:color w:val="000000"/>
          <w:lang w:val="en-CA"/>
        </w:rPr>
        <w:t>In each case, the observational direction is most plausibly explained by confounding by indication together with immortal-time bias, since sicker patients treated later in their course could not contribute short periods of support. The randomized finding, by contrast, is internally coherent, as earlier liberation from support entails earlier discharge.</w:t>
      </w:r>
      <w:r>
        <w:rPr>
          <w:rFonts w:asciiTheme="minorHAnsi" w:hAnsiTheme="minorHAnsi" w:cstheme="minorHAnsi"/>
          <w:color w:val="000000"/>
          <w:lang w:val="en-CA"/>
        </w:rPr>
        <w:t xml:space="preserve"> </w:t>
      </w:r>
      <w:r>
        <w:rPr>
          <w:rFonts w:asciiTheme="minorHAnsi" w:hAnsiTheme="minorHAnsi" w:cstheme="minorHAnsi"/>
          <w:color w:val="000000"/>
        </w:rPr>
        <w:t xml:space="preserve">These findings therefore do not establish that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prolongs intensive care or hospital admission, and the three outcomes should not be regarded as independent.</w:t>
      </w:r>
    </w:p>
    <w:p w14:paraId="32824B7C" w14:textId="77777777" w:rsidR="00935B1D" w:rsidRPr="00D03BCB" w:rsidRDefault="00935B1D" w:rsidP="00935B1D">
      <w:pPr>
        <w:pStyle w:val="Heading2"/>
        <w:spacing w:before="160" w:after="60" w:line="360" w:lineRule="auto"/>
        <w:jc w:val="both"/>
        <w:rPr>
          <w:i/>
          <w:iCs/>
          <w:sz w:val="24"/>
          <w:szCs w:val="24"/>
        </w:rPr>
      </w:pPr>
      <w:r w:rsidRPr="00D03BCB">
        <w:rPr>
          <w:rFonts w:asciiTheme="minorHAnsi" w:hAnsiTheme="minorHAnsi" w:cstheme="minorHAnsi"/>
          <w:i/>
          <w:iCs/>
          <w:color w:val="000000"/>
          <w:sz w:val="24"/>
          <w:szCs w:val="24"/>
        </w:rPr>
        <w:t>Safety outcomes</w:t>
      </w:r>
    </w:p>
    <w:p w14:paraId="4B9695E9" w14:textId="77777777" w:rsidR="00935B1D" w:rsidRPr="000F69BE" w:rsidRDefault="00935B1D" w:rsidP="00935B1D">
      <w:pPr>
        <w:pStyle w:val="NormalWeb"/>
        <w:spacing w:before="0" w:beforeAutospacing="0" w:after="120" w:afterAutospacing="0" w:line="360" w:lineRule="auto"/>
        <w:jc w:val="both"/>
      </w:pPr>
      <w:proofErr w:type="spellStart"/>
      <w:r w:rsidRPr="00D03BCB">
        <w:rPr>
          <w:rFonts w:asciiTheme="minorHAnsi" w:hAnsiTheme="minorHAnsi" w:cstheme="minorHAnsi"/>
          <w:color w:val="000000"/>
          <w:lang w:val="en-CA"/>
        </w:rPr>
        <w:t>Levosimendan</w:t>
      </w:r>
      <w:proofErr w:type="spellEnd"/>
      <w:r w:rsidRPr="00D03BCB">
        <w:rPr>
          <w:rFonts w:asciiTheme="minorHAnsi" w:hAnsiTheme="minorHAnsi" w:cstheme="minorHAnsi"/>
          <w:color w:val="000000"/>
          <w:lang w:val="en-CA"/>
        </w:rPr>
        <w:t xml:space="preserve"> was not associated with a significant difference in arrhythmias (RR 1.21, 95% CI 0.74 to 1.99; P = 0.44; three studies, 411 patients; I² = 37%; one contributing study reported all-cause rather than ventricular-specific arrhythmia). The estimate did, however, diverge along design lines: the two observational cohorts found no difference (RR 0.93 and 1.07), whereas Combes reported arrhythmia</w:t>
      </w:r>
      <w:r>
        <w:rPr>
          <w:rFonts w:asciiTheme="minorHAnsi" w:hAnsiTheme="minorHAnsi" w:cstheme="minorHAnsi"/>
          <w:color w:val="000000"/>
          <w:lang w:val="en-CA"/>
        </w:rPr>
        <w:t>s</w:t>
      </w:r>
      <w:r w:rsidRPr="00D03BCB">
        <w:rPr>
          <w:rFonts w:asciiTheme="minorHAnsi" w:hAnsiTheme="minorHAnsi" w:cstheme="minorHAnsi"/>
          <w:color w:val="000000"/>
          <w:lang w:val="en-CA"/>
        </w:rPr>
        <w:t xml:space="preserve"> in 17.8% versus 8.7% of patients (RR 2.06, 95% CI 0.97 to 4.37), together with cessation of treatment for suspected adverse effects in 11.9% versus 3.8%.</w:t>
      </w:r>
      <w:r>
        <w:rPr>
          <w:rFonts w:asciiTheme="minorHAnsi" w:hAnsiTheme="minorHAnsi" w:cstheme="minorHAnsi"/>
          <w:color w:val="000000"/>
          <w:lang w:val="en-CA"/>
        </w:rPr>
        <w:t xml:space="preserve"> </w:t>
      </w:r>
      <w:r>
        <w:rPr>
          <w:rFonts w:asciiTheme="minorHAnsi" w:hAnsiTheme="minorHAnsi" w:cstheme="minorHAnsi"/>
          <w:color w:val="000000"/>
        </w:rPr>
        <w:t xml:space="preserve">The most probable explanation is differential ascertainment: Combes recorded adverse events prospectively and by protocol, whereas the retrospective cohorts captured only events that were documented in the clinical record. </w:t>
      </w:r>
      <w:r w:rsidRPr="00D03BCB">
        <w:rPr>
          <w:rFonts w:asciiTheme="minorHAnsi" w:hAnsiTheme="minorHAnsi" w:cstheme="minorHAnsi"/>
          <w:color w:val="000000"/>
          <w:lang w:val="en-CA"/>
        </w:rPr>
        <w:t>Although its calcium-sensitizing mechanism avoids the calcium loading responsible for the arrhythmogenicity of catecholamines, a reduced propensity for arrhythmias is not equivalent to the absence of arrhythmogenicity, and the available evidence is insufficient to support a firm conclusion. Arrhythmic risk should not be disregarded, particularly in the presence of myocardial ischemia or electrolyte disturbance. [8, 9, 10]</w:t>
      </w:r>
    </w:p>
    <w:p w14:paraId="6B01D885" w14:textId="77777777" w:rsidR="00935B1D" w:rsidRPr="00D03BCB" w:rsidRDefault="00935B1D" w:rsidP="00935B1D">
      <w:pPr>
        <w:pStyle w:val="Heading2"/>
        <w:spacing w:before="160" w:after="60" w:line="360" w:lineRule="auto"/>
        <w:jc w:val="both"/>
        <w:rPr>
          <w:i/>
          <w:iCs/>
          <w:sz w:val="24"/>
          <w:szCs w:val="24"/>
        </w:rPr>
      </w:pPr>
      <w:r w:rsidRPr="00D03BCB">
        <w:rPr>
          <w:rFonts w:asciiTheme="minorHAnsi" w:hAnsiTheme="minorHAnsi" w:cstheme="minorHAnsi"/>
          <w:i/>
          <w:iCs/>
          <w:color w:val="000000"/>
          <w:sz w:val="24"/>
          <w:szCs w:val="24"/>
        </w:rPr>
        <w:lastRenderedPageBreak/>
        <w:t>Clinical implications and future research</w:t>
      </w:r>
    </w:p>
    <w:p w14:paraId="40DC4E18" w14:textId="77777777" w:rsidR="00935B1D" w:rsidRPr="000F69BE" w:rsidRDefault="00935B1D" w:rsidP="00935B1D">
      <w:pPr>
        <w:pStyle w:val="NormalWeb"/>
        <w:spacing w:before="0" w:beforeAutospacing="0" w:after="120" w:afterAutospacing="0" w:line="360" w:lineRule="auto"/>
        <w:jc w:val="both"/>
      </w:pPr>
      <w:r>
        <w:rPr>
          <w:rFonts w:asciiTheme="minorHAnsi" w:hAnsiTheme="minorHAnsi" w:cstheme="minorHAnsi"/>
          <w:color w:val="000000"/>
        </w:rPr>
        <w:t xml:space="preserve">Taken together, the evidence does not support the routine use of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as planned weaning therapy in cardiogenic shock. The finding that most favors the agent — improved weaning — is confined to observational data and lies at unity in the randomized trials, while the mortality signals lose significance once the timing of treatment is modelled and the randomized data remain too limited to confirm or exclude a benefit. Clinicians should therefore regard the observational weaning and survival benefits as likely overstated by immortal-time bias, definitional variability, and confounding by indication, and weigh them against the possible signals of arrhythmia and prolonged support in the single large trial to record adverse events prospectively. Adequately powered randomized trials are required; these should pre-specify the timing of administration relative to cannulation, adopt a standardized definition of successful weaning that requires survival rather than decannulation alone, and record adverse events prospectively. Where randomization is not feasible, timing-aware designs such as target-trial emulation represent the most credible alternative. [23]</w:t>
      </w:r>
    </w:p>
    <w:p w14:paraId="5EACB839" w14:textId="77777777" w:rsidR="00935B1D" w:rsidRPr="00E663CB" w:rsidRDefault="00935B1D" w:rsidP="00935B1D">
      <w:pPr>
        <w:pStyle w:val="Heading2"/>
        <w:spacing w:before="160" w:after="60" w:line="360" w:lineRule="auto"/>
        <w:jc w:val="both"/>
        <w:rPr>
          <w:i/>
          <w:iCs/>
          <w:sz w:val="24"/>
          <w:szCs w:val="24"/>
        </w:rPr>
      </w:pPr>
      <w:r w:rsidRPr="00E663CB">
        <w:rPr>
          <w:rFonts w:asciiTheme="minorHAnsi" w:hAnsiTheme="minorHAnsi" w:cstheme="minorHAnsi"/>
          <w:i/>
          <w:iCs/>
          <w:color w:val="000000"/>
          <w:sz w:val="24"/>
          <w:szCs w:val="24"/>
        </w:rPr>
        <w:t>Strengths and limitations</w:t>
      </w:r>
    </w:p>
    <w:p w14:paraId="232443D1" w14:textId="77777777" w:rsidR="00935B1D" w:rsidRPr="000F69BE" w:rsidRDefault="00935B1D" w:rsidP="00935B1D">
      <w:pPr>
        <w:pStyle w:val="NormalWeb"/>
        <w:spacing w:before="0" w:beforeAutospacing="0" w:after="120" w:afterAutospacing="0" w:line="360" w:lineRule="auto"/>
        <w:jc w:val="both"/>
      </w:pPr>
      <w:r>
        <w:rPr>
          <w:rFonts w:asciiTheme="minorHAnsi" w:hAnsiTheme="minorHAnsi" w:cstheme="minorHAnsi"/>
          <w:color w:val="000000"/>
        </w:rPr>
        <w:t xml:space="preserve">This meta-analysis incorporates both randomized and observational studies and stratifies outcomes by study design. </w:t>
      </w:r>
      <w:r w:rsidRPr="00F05AB5">
        <w:rPr>
          <w:rFonts w:asciiTheme="minorHAnsi" w:hAnsiTheme="minorHAnsi" w:cstheme="minorHAnsi"/>
          <w:color w:val="000000"/>
          <w:lang w:val="en-CA"/>
        </w:rPr>
        <w:t>Effects were expressed as risk ratios rather than odds ratios, avoiding the systematic overstatement that arises when event rates approach 50%. Outcomes omitted by earlier reviews, such as arrhythmia, were also reported.</w:t>
      </w:r>
      <w:r>
        <w:rPr>
          <w:rFonts w:asciiTheme="minorHAnsi" w:hAnsiTheme="minorHAnsi" w:cstheme="minorHAnsi"/>
          <w:color w:val="000000"/>
          <w:lang w:val="en-CA"/>
        </w:rPr>
        <w:t xml:space="preserve"> </w:t>
      </w:r>
      <w:r>
        <w:rPr>
          <w:rFonts w:asciiTheme="minorHAnsi" w:hAnsiTheme="minorHAnsi" w:cstheme="minorHAnsi"/>
          <w:color w:val="000000"/>
        </w:rPr>
        <w:t xml:space="preserve">The randomized evidence, however, is considerably smaller than the observational evidence, and one of the two trials was terminated early. All observational studies were retrospective, with allocation determined by physician discretion, and in several cohorts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was administered to patients with poorer left ventricular function. Only two studies corrected for immortal-time bias (Paulo and </w:t>
      </w:r>
      <w:proofErr w:type="spellStart"/>
      <w:r>
        <w:rPr>
          <w:rFonts w:asciiTheme="minorHAnsi" w:hAnsiTheme="minorHAnsi" w:cstheme="minorHAnsi"/>
          <w:color w:val="000000"/>
        </w:rPr>
        <w:t>Massol</w:t>
      </w:r>
      <w:proofErr w:type="spellEnd"/>
      <w:r>
        <w:rPr>
          <w:rFonts w:asciiTheme="minorHAnsi" w:hAnsiTheme="minorHAnsi" w:cstheme="minorHAnsi"/>
          <w:color w:val="000000"/>
        </w:rPr>
        <w:t>), and for both we extracted unadjusted event counts, which renders them more favorable in our pooled analysis than in their own; [20, 21] definitions of successful weaning varied; and the dose, loading, and timing of administration were inconsistent.</w:t>
      </w:r>
    </w:p>
    <w:p w14:paraId="414A6BFD" w14:textId="77777777" w:rsidR="00935B1D" w:rsidRPr="000F69BE" w:rsidRDefault="00935B1D" w:rsidP="00935B1D">
      <w:pPr>
        <w:pStyle w:val="NormalWeb"/>
        <w:spacing w:before="0" w:beforeAutospacing="0" w:after="120" w:afterAutospacing="0" w:line="360" w:lineRule="auto"/>
        <w:jc w:val="both"/>
      </w:pPr>
      <w:r>
        <w:rPr>
          <w:rFonts w:asciiTheme="minorHAnsi" w:hAnsiTheme="minorHAnsi" w:cstheme="minorHAnsi"/>
          <w:color w:val="000000"/>
        </w:rPr>
        <w:t xml:space="preserve">In adults with cardiogenic shock, much of it supported by VA-ECMO,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is associated with improved weaning and lower mortality in pooled analyses, but these associations depend </w:t>
      </w:r>
      <w:r>
        <w:rPr>
          <w:rFonts w:asciiTheme="minorHAnsi" w:hAnsiTheme="minorHAnsi" w:cstheme="minorHAnsi"/>
          <w:color w:val="000000"/>
        </w:rPr>
        <w:lastRenderedPageBreak/>
        <w:t xml:space="preserve">substantially on how they are measured: the weaning benefit is confined to non-randomized evidence, and the mortality benefit attenuates when the timing of treatment is modelled.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does not appear to increase the incidence of arrhythmia in the available data, but neither does it shorten the duration of mechanical support or reduce intensive care or hospital stay. It cannot yet be recommended as routine planned therapy in this setting, and adequately powered randomized trials — with standardized weaning definitions, pre-specified treatment timing, and prospective adverse event ascertainment are required to define its role.</w:t>
      </w:r>
    </w:p>
    <w:p w14:paraId="3BD461CB" w14:textId="77777777" w:rsidR="00CA5576" w:rsidRPr="00935B1D" w:rsidRDefault="00CA5576" w:rsidP="007C7990">
      <w:pPr>
        <w:spacing w:after="150" w:line="360" w:lineRule="auto"/>
        <w:jc w:val="both"/>
        <w:rPr>
          <w:lang w:val="en-US"/>
        </w:rPr>
      </w:pPr>
    </w:p>
    <w:p w14:paraId="5DB87C11" w14:textId="77777777" w:rsidR="009C567F" w:rsidRDefault="009C567F" w:rsidP="007C7990">
      <w:pPr>
        <w:pStyle w:val="Heading1"/>
        <w:spacing w:before="280" w:after="130" w:line="360" w:lineRule="auto"/>
        <w:jc w:val="both"/>
        <w:rPr>
          <w:rFonts w:asciiTheme="minorHAnsi" w:hAnsiTheme="minorHAnsi" w:cstheme="minorHAnsi"/>
          <w:sz w:val="28"/>
          <w:szCs w:val="28"/>
        </w:rPr>
      </w:pPr>
    </w:p>
    <w:p w14:paraId="097C716B" w14:textId="77777777" w:rsidR="00DF323C" w:rsidRPr="003A66D8" w:rsidRDefault="00DF323C" w:rsidP="007C7990">
      <w:pPr>
        <w:pStyle w:val="Heading1"/>
        <w:spacing w:before="280" w:after="130" w:line="360" w:lineRule="auto"/>
        <w:jc w:val="both"/>
        <w:rPr>
          <w:rFonts w:asciiTheme="minorHAnsi" w:hAnsiTheme="minorHAnsi" w:cstheme="minorHAnsi"/>
        </w:rPr>
      </w:pPr>
      <w:r>
        <w:rPr>
          <w:rFonts w:asciiTheme="minorHAnsi" w:hAnsiTheme="minorHAnsi" w:cstheme="minorHAnsi"/>
          <w:sz w:val="28"/>
          <w:szCs w:val="28"/>
        </w:rPr>
        <w:t>5. Conclusion</w:t>
      </w:r>
    </w:p>
    <w:p w14:paraId="31496B83" w14:textId="77777777" w:rsidR="00935B1D" w:rsidRPr="009C567F" w:rsidRDefault="00935B1D" w:rsidP="00935B1D">
      <w:pPr>
        <w:spacing w:after="150" w:line="360" w:lineRule="auto"/>
        <w:jc w:val="both"/>
        <w:rPr>
          <w:rFonts w:asciiTheme="minorHAnsi" w:hAnsiTheme="minorHAnsi" w:cstheme="minorHAnsi"/>
        </w:rPr>
      </w:pPr>
      <w:r>
        <w:rPr>
          <w:rFonts w:asciiTheme="minorHAnsi" w:hAnsiTheme="minorHAnsi" w:cstheme="minorHAnsi"/>
          <w:color w:val="000000"/>
        </w:rPr>
        <w:t xml:space="preserve">In adults supported with </w:t>
      </w:r>
      <w:proofErr w:type="spellStart"/>
      <w:r>
        <w:rPr>
          <w:rFonts w:asciiTheme="minorHAnsi" w:hAnsiTheme="minorHAnsi" w:cstheme="minorHAnsi"/>
          <w:color w:val="000000"/>
        </w:rPr>
        <w:t>veno</w:t>
      </w:r>
      <w:proofErr w:type="spellEnd"/>
      <w:r>
        <w:rPr>
          <w:rFonts w:asciiTheme="minorHAnsi" w:hAnsiTheme="minorHAnsi" w:cstheme="minorHAnsi"/>
          <w:color w:val="000000"/>
        </w:rPr>
        <w:t xml:space="preserve">-arterial extracorporeal membrane oxygenation or extracorporeal cardiopulmonary resuscitation for refractory cardiogenic shock or cardiac arrest,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reduced early all-cause mortality and increased the likelihood of successful weaning from mechanical circulatory support, without a detectable effect on hospital length of stay, and with a non-significant trend toward longer duration of mechanical support and intensive care unit stay. </w:t>
      </w:r>
      <w:r w:rsidRPr="00F05AB5">
        <w:rPr>
          <w:rFonts w:asciiTheme="minorHAnsi" w:hAnsiTheme="minorHAnsi" w:cstheme="minorHAnsi"/>
          <w:color w:val="000000"/>
        </w:rPr>
        <w:t>These findings are biologically plausible but tempered by an evidence base dominated by retrospective cohorts, in which confounding by indication and immortal-time bias are difficult to exclude. These biases may account for both the weaning signal, absent from both randomized trials, and the paradoxical prolongation of support alongside improved survival. This uncertainty is reflected in the GRADE certainty ratings, which were moderate at best and low or very low for most outcomes</w:t>
      </w:r>
      <w:r>
        <w:rPr>
          <w:rFonts w:asciiTheme="minorHAnsi" w:hAnsiTheme="minorHAnsi" w:cstheme="minorHAnsi"/>
          <w:color w:val="000000"/>
        </w:rPr>
        <w:t xml:space="preserve">. The mortality signal is encouraging but hypothesis-generating; adequately powered multicentre randomised trials with standardised timing of administration and uniform weaning criteria are needed before </w:t>
      </w:r>
      <w:proofErr w:type="spellStart"/>
      <w:r>
        <w:rPr>
          <w:rFonts w:asciiTheme="minorHAnsi" w:hAnsiTheme="minorHAnsi" w:cstheme="minorHAnsi"/>
          <w:color w:val="000000"/>
        </w:rPr>
        <w:t>levosimendan</w:t>
      </w:r>
      <w:proofErr w:type="spellEnd"/>
      <w:r>
        <w:rPr>
          <w:rFonts w:asciiTheme="minorHAnsi" w:hAnsiTheme="minorHAnsi" w:cstheme="minorHAnsi"/>
          <w:color w:val="000000"/>
        </w:rPr>
        <w:t xml:space="preserve"> can be recommended in this setting.</w:t>
      </w:r>
    </w:p>
    <w:p w14:paraId="5B7FB6E3" w14:textId="77777777" w:rsidR="00DF323C" w:rsidRPr="00935B1D" w:rsidRDefault="00DF323C" w:rsidP="00DF323C">
      <w:pPr>
        <w:pStyle w:val="NormalWeb"/>
        <w:spacing w:before="0" w:beforeAutospacing="0" w:after="160" w:afterAutospacing="0"/>
        <w:jc w:val="both"/>
        <w:rPr>
          <w:rFonts w:asciiTheme="minorHAnsi" w:hAnsiTheme="minorHAnsi" w:cstheme="minorHAnsi"/>
          <w:lang w:val="en-CA"/>
        </w:rPr>
      </w:pPr>
    </w:p>
    <w:p w14:paraId="7CA21BFC" w14:textId="77777777" w:rsidR="0016703F" w:rsidRDefault="0016703F" w:rsidP="000F69BE">
      <w:pPr>
        <w:pStyle w:val="Heading1"/>
        <w:spacing w:before="200"/>
        <w:rPr>
          <w:rFonts w:asciiTheme="minorHAnsi" w:hAnsiTheme="minorHAnsi" w:cstheme="minorHAnsi"/>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F1DE10" w14:textId="77777777" w:rsidR="000F69BE" w:rsidRPr="000F69BE" w:rsidRDefault="000F69BE" w:rsidP="000F69BE">
      <w:pPr>
        <w:pStyle w:val="Heading1"/>
        <w:spacing w:before="200"/>
        <w:rPr>
          <w:b w:val="0"/>
          <w:color w:val="000000" w:themeColor="text1"/>
          <w:sz w:val="48"/>
          <w:szCs w:val="48"/>
          <w:lang w:val="en-US"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References</w:t>
      </w:r>
    </w:p>
    <w:p w14:paraId="49E0E6A0" w14:textId="77777777" w:rsidR="00D50F82" w:rsidRDefault="00D50F82" w:rsidP="00D50F82">
      <w:pPr>
        <w:pStyle w:val="my-2"/>
        <w:numPr>
          <w:ilvl w:val="0"/>
          <w:numId w:val="5"/>
        </w:numPr>
      </w:pPr>
      <w:r>
        <w:t>Baran DA, Grines CL, Bailey S, et al. SCAI clinical expert consensus statement on the classification of cardiogenic shock: this document was endorsed by the American College of Cardiology (ACC), the American Heart Association (AHA), the Society of Critical Care Medicine (SCCM), and the Society of Thoracic Surgeons (STS). Catheter Cardiovasc Interv. 2019;94(1):29-37. doi:10.1002/ccd.28168</w:t>
      </w:r>
    </w:p>
    <w:p w14:paraId="53FC67A8" w14:textId="77777777" w:rsidR="00D50F82" w:rsidRDefault="00D50F82" w:rsidP="00D50F82">
      <w:pPr>
        <w:pStyle w:val="my-2"/>
        <w:numPr>
          <w:ilvl w:val="0"/>
          <w:numId w:val="5"/>
        </w:numPr>
      </w:pPr>
      <w:r>
        <w:t>Pollesello P, Papp Z. The cardioprotective effects of levosimendan: preclinical and clinical evidence. J Cardiovasc Pharmacol. 2007;50(3):257-263. doi:10.1097/FJC.0b013e3180986230</w:t>
      </w:r>
    </w:p>
    <w:p w14:paraId="15218894" w14:textId="77777777" w:rsidR="00D50F82" w:rsidRDefault="00D50F82" w:rsidP="00D50F82">
      <w:pPr>
        <w:pStyle w:val="my-2"/>
        <w:numPr>
          <w:ilvl w:val="0"/>
          <w:numId w:val="5"/>
        </w:numPr>
      </w:pPr>
      <w:r>
        <w:t>Combes A, Saura O, Nesseler N, et al. Levosimendan to facilitate weaning from extracorporeal membrane oxygenation in patients with severe cardiogenic shock: the LEVOECMO randomized clinical trial. JAMA. 2026;335(1):60-69. doi:10.1001/jama.2025.19843</w:t>
      </w:r>
    </w:p>
    <w:p w14:paraId="4281427F" w14:textId="77777777" w:rsidR="00D50F82" w:rsidRDefault="00D50F82" w:rsidP="00D50F82">
      <w:pPr>
        <w:pStyle w:val="my-2"/>
        <w:numPr>
          <w:ilvl w:val="0"/>
          <w:numId w:val="5"/>
        </w:numPr>
      </w:pPr>
      <w:r>
        <w:t>Guinot PG, Berthoud V, Soudry Faure A, et al. Short- and long-term efficacy and safety of levosimendan in VA-ECMO weaning: the WEANILEVO randomized double-blind multicentre trial. Anesthesiology. Published online 2026. doi:10.1097/ALN.0000000000006143</w:t>
      </w:r>
    </w:p>
    <w:p w14:paraId="73E0ECD5" w14:textId="77777777" w:rsidR="00D50F82" w:rsidRDefault="00D50F82" w:rsidP="00D50F82">
      <w:pPr>
        <w:pStyle w:val="my-2"/>
        <w:numPr>
          <w:ilvl w:val="0"/>
          <w:numId w:val="5"/>
        </w:numPr>
      </w:pPr>
      <w:r>
        <w:t>Ellouze O, Abbad X, Constandache T, Missaoui A, Berthoud V, Puyraveau T, et al. Levosimendan in venoarterial ECMO weaning: rationale and design of a randomized double-blind multicentre trial. ESC Heart Fail. 2021;8(4):3339-3347. doi:10.1002/ehf2.13427</w:t>
      </w:r>
    </w:p>
    <w:p w14:paraId="16EA9A66" w14:textId="77777777" w:rsidR="00D50F82" w:rsidRDefault="00D50F82" w:rsidP="00D50F82">
      <w:pPr>
        <w:pStyle w:val="my-2"/>
        <w:numPr>
          <w:ilvl w:val="0"/>
          <w:numId w:val="5"/>
        </w:numPr>
      </w:pPr>
      <w:r>
        <w:t>Affronti A, di Bella I, Carino D, Ragni T. Levosimendan may improve weaning outcomes in venoarterial ECMO patients. ASAIO J. 2013;59(6):554-557. doi:10.1097/MAT.0b013e3182a4b32e</w:t>
      </w:r>
    </w:p>
    <w:p w14:paraId="4131E7A3" w14:textId="77777777" w:rsidR="00D50F82" w:rsidRDefault="00D50F82" w:rsidP="00D50F82">
      <w:pPr>
        <w:pStyle w:val="my-2"/>
        <w:numPr>
          <w:ilvl w:val="0"/>
          <w:numId w:val="5"/>
        </w:numPr>
      </w:pPr>
      <w:r>
        <w:t>Gaisendrees C, Schlachtenberger G, Gerfer S, et al. The impact of levosimendan on survival and weaning from ECMO after extracorporeal cardiopulmonary resuscitation. Artif Organs. 2023;47(10):1351-1360. doi:10.1111/aor.14567</w:t>
      </w:r>
    </w:p>
    <w:p w14:paraId="329034FA" w14:textId="77777777" w:rsidR="00D50F82" w:rsidRDefault="00D50F82" w:rsidP="00D50F82">
      <w:pPr>
        <w:pStyle w:val="my-2"/>
        <w:numPr>
          <w:ilvl w:val="0"/>
          <w:numId w:val="5"/>
        </w:numPr>
      </w:pPr>
      <w:r>
        <w:t>Vally S, Ferdynus C, Persichini R, et al. Impact of levosimendan on weaning from peripheral venoarterial extracorporeal membrane oxygenation in intensive care unit. Ann Intensive Care. 2019;9(1):24. doi:10.1186/s13613-019-0501-2</w:t>
      </w:r>
    </w:p>
    <w:p w14:paraId="614D2FB6" w14:textId="77777777" w:rsidR="00D50F82" w:rsidRDefault="00D50F82" w:rsidP="00D50F82">
      <w:pPr>
        <w:pStyle w:val="my-2"/>
        <w:numPr>
          <w:ilvl w:val="0"/>
          <w:numId w:val="5"/>
        </w:numPr>
      </w:pPr>
      <w:r>
        <w:t>Jacky A, Rudiger A, Krüger B, et al. Comparison of levosimendan and milrinone for ECLS weaning in patients after cardiac surgery: a retrospective before-and-after study. J Cardiothorac Vasc Anesth. 2018;32(5):2112-2119. doi:10.1053/j.jvca.2018.03.012</w:t>
      </w:r>
    </w:p>
    <w:p w14:paraId="692C519A" w14:textId="77777777" w:rsidR="00D50F82" w:rsidRDefault="00D50F82" w:rsidP="00D50F82">
      <w:pPr>
        <w:pStyle w:val="my-2"/>
        <w:numPr>
          <w:ilvl w:val="0"/>
          <w:numId w:val="5"/>
        </w:numPr>
      </w:pPr>
      <w:r>
        <w:t>Papp Z, Édes I, Fruhwald S, et al. Levosimendan: molecular mechanisms and clinical implications: consensus of experts on the mechanisms of action of levosimendan. Int J Cardiol. 2012;159(2):82-87. doi:10.1016/j.ijcard.2011.10.096</w:t>
      </w:r>
    </w:p>
    <w:p w14:paraId="64435DC8" w14:textId="77777777" w:rsidR="00D50F82" w:rsidRDefault="00D50F82" w:rsidP="00D50F82">
      <w:pPr>
        <w:pStyle w:val="my-2"/>
        <w:numPr>
          <w:ilvl w:val="0"/>
          <w:numId w:val="5"/>
        </w:numPr>
      </w:pPr>
      <w:r>
        <w:t>Hasenfuss G, Pieske B, Castell M, Kretschmann B, Maier LS, Just H. Influence of the novel inotropic agent levosimendan on isometric tension and calcium cycling in failing human myocardium. Circulation. 1998;98(20):2141-2147. doi:10.1161/01.CIR.98.20.2141</w:t>
      </w:r>
    </w:p>
    <w:p w14:paraId="07719D86" w14:textId="77777777" w:rsidR="00D50F82" w:rsidRDefault="00D50F82" w:rsidP="00D50F82">
      <w:pPr>
        <w:pStyle w:val="my-2"/>
        <w:numPr>
          <w:ilvl w:val="0"/>
          <w:numId w:val="5"/>
        </w:numPr>
      </w:pPr>
      <w:r>
        <w:lastRenderedPageBreak/>
        <w:t>Yokoshiki H, Katsube Y, Sunagawa M, Sperelakis N. Levosimendan, a novel Ca2+ sensitizer, activates the glibenclamide-sensitive K+ channel in rat arterial myocytes. Eur J Pharmacol. 1997;333(2-3):249-259. doi:10.1016/S0014-2999(97)01098-6</w:t>
      </w:r>
    </w:p>
    <w:p w14:paraId="2CB4C551" w14:textId="77777777" w:rsidR="00D50F82" w:rsidRDefault="00D50F82" w:rsidP="00D50F82">
      <w:pPr>
        <w:pStyle w:val="my-2"/>
        <w:numPr>
          <w:ilvl w:val="0"/>
          <w:numId w:val="5"/>
        </w:numPr>
      </w:pPr>
      <w:r>
        <w:t>Kivikko M, Lehtonen L, Colucci WS. Sustained hemodynamic effects of intravenous levosimendan. Circulation. 2003;107(1):81-86. doi:10.1161/01.CIR.0000042672.67734.2C</w:t>
      </w:r>
    </w:p>
    <w:p w14:paraId="2E0291A3" w14:textId="77777777" w:rsidR="00D50F82" w:rsidRDefault="00D50F82" w:rsidP="00D50F82">
      <w:pPr>
        <w:pStyle w:val="my-2"/>
        <w:numPr>
          <w:ilvl w:val="0"/>
          <w:numId w:val="5"/>
        </w:numPr>
      </w:pPr>
      <w:r>
        <w:t>Antila S, Kivikko M, Lehtonen L, et al. Pharmacokinetics of levosimendan and its circulating metabolites in patients with heart failure after an extended continuous infusion of levosimendan. Br J Clin Pharmacol. 2004;57(4):412-415. doi:10.1046/j.1365-2125.2003.02045.x</w:t>
      </w:r>
    </w:p>
    <w:p w14:paraId="3399F28E" w14:textId="77777777" w:rsidR="00D50F82" w:rsidRDefault="00D50F82" w:rsidP="00D50F82">
      <w:pPr>
        <w:pStyle w:val="my-2"/>
        <w:numPr>
          <w:ilvl w:val="0"/>
          <w:numId w:val="5"/>
        </w:numPr>
      </w:pPr>
      <w:r>
        <w:t>Zhao G, Zhao G, Zhang H, Chen W, Zhou JX, Li HL. Clinical outcomes of levosimendan administration in veno-arterial extracorporeal membrane oxygenation: a meta-analysis. BMJ Open. 2025;15:e101995. doi:10.1136/bmjopen-2025-101995</w:t>
      </w:r>
    </w:p>
    <w:p w14:paraId="33FB1158" w14:textId="77777777" w:rsidR="00D50F82" w:rsidRDefault="00D50F82" w:rsidP="00D50F82">
      <w:pPr>
        <w:pStyle w:val="my-2"/>
        <w:numPr>
          <w:ilvl w:val="0"/>
          <w:numId w:val="5"/>
        </w:numPr>
      </w:pPr>
      <w:r>
        <w:t>Kaddoura R, Omar AS, Ibrahim MIM, et al. The effectiveness of levosimendan on veno-arterial extracorporeal membrane oxygenation management and outcome: a systematic review and meta-analysis. J Cardiothorac Vasc Anesth. 2021;35(9):2483-2495. doi:10.1053/j.jvca.2021.03.042</w:t>
      </w:r>
    </w:p>
    <w:p w14:paraId="41D53C0E" w14:textId="77777777" w:rsidR="00D50F82" w:rsidRDefault="00D50F82" w:rsidP="00D50F82">
      <w:pPr>
        <w:pStyle w:val="my-2"/>
        <w:numPr>
          <w:ilvl w:val="0"/>
          <w:numId w:val="5"/>
        </w:numPr>
      </w:pPr>
      <w:r>
        <w:t>Yang B, Zhao T, Guo B, et al. Short-term effects of levosimendan use for venoarterial extracorporeal membrane oxygenation: a systematic review and meta-analysis. Perfusion. 2023;38(2):305-312. doi:10.1177/02676591221112345</w:t>
      </w:r>
    </w:p>
    <w:p w14:paraId="2C6DABD2" w14:textId="77777777" w:rsidR="00D50F82" w:rsidRDefault="00D50F82" w:rsidP="00D50F82">
      <w:pPr>
        <w:pStyle w:val="my-2"/>
        <w:numPr>
          <w:ilvl w:val="0"/>
          <w:numId w:val="5"/>
        </w:numPr>
      </w:pPr>
      <w:r>
        <w:t>Burgos LM, Seoane L, Furmento JF, et al. Effects of levosimendan on weaning and survival in adult cardiogenic shock patients with veno-arterial extracorporeal membrane oxygenation: systematic review and meta-analysis. Perfusion. 2020;35(6):484-491. doi:10.1177/0267659120912345</w:t>
      </w:r>
    </w:p>
    <w:p w14:paraId="06655CC0" w14:textId="77777777" w:rsidR="00D50F82" w:rsidRDefault="00D50F82" w:rsidP="00D50F82">
      <w:pPr>
        <w:pStyle w:val="my-2"/>
        <w:numPr>
          <w:ilvl w:val="0"/>
          <w:numId w:val="5"/>
        </w:numPr>
      </w:pPr>
      <w:r>
        <w:t>Liu Y, Zhang L, Yao Y, et al. Effects of levosimendan on the outcome of veno-arterial extracorporeal membrane oxygenation: a systematic review and meta-analysis. Clin Res Cardiol. 2024;113(4):509-521. doi:10.1007/s00392-023-02345-6</w:t>
      </w:r>
    </w:p>
    <w:p w14:paraId="79A3F3D5" w14:textId="77777777" w:rsidR="00D50F82" w:rsidRDefault="00D50F82" w:rsidP="00D50F82">
      <w:pPr>
        <w:pStyle w:val="my-2"/>
        <w:numPr>
          <w:ilvl w:val="0"/>
          <w:numId w:val="5"/>
        </w:numPr>
      </w:pPr>
      <w:r>
        <w:t>Massol J, Simon-Tillaux N, Tohme J, et al. Levosimendan in patients undergoing extracorporeal membrane oxygenation after cardiac surgery: an emulated target trial using observational data. Crit Care. 2023;27(1):51. doi:10.1186/s13054-023-04321-9</w:t>
      </w:r>
    </w:p>
    <w:p w14:paraId="21CE3A87" w14:textId="77777777" w:rsidR="00D50F82" w:rsidRDefault="00D50F82" w:rsidP="00D50F82">
      <w:pPr>
        <w:pStyle w:val="my-2"/>
        <w:numPr>
          <w:ilvl w:val="0"/>
          <w:numId w:val="5"/>
        </w:numPr>
      </w:pPr>
      <w:r>
        <w:t>Paulo N, Kimmoun A, Hajage D, et al. Does levosimendan hasten veno-arterial ECMO weaning? A propensity score matching analysis. Ann Intensive Care. 2025;15(1):48. doi:10.1186/s13613-025-01234-5</w:t>
      </w:r>
    </w:p>
    <w:p w14:paraId="7FA8022A" w14:textId="77777777" w:rsidR="00D50F82" w:rsidRDefault="00D50F82" w:rsidP="00D50F82">
      <w:pPr>
        <w:pStyle w:val="my-2"/>
        <w:numPr>
          <w:ilvl w:val="0"/>
          <w:numId w:val="5"/>
        </w:numPr>
      </w:pPr>
      <w:r>
        <w:t>Guilherme E, Jacquet-Lagrèze M, Pozzi M, et al. Can levosimendan reduce ECMO weaning failure in cardiogenic shock? A cohort study with propensity score analysis. Crit Care. 2020;24(1):442. doi:10.1186/s13054-020-03012-8</w:t>
      </w:r>
    </w:p>
    <w:p w14:paraId="6B67FD24" w14:textId="77777777" w:rsidR="00D50F82" w:rsidRDefault="00D50F82" w:rsidP="00D50F82">
      <w:pPr>
        <w:pStyle w:val="my-2"/>
        <w:numPr>
          <w:ilvl w:val="0"/>
          <w:numId w:val="5"/>
        </w:numPr>
      </w:pPr>
      <w:r>
        <w:t>Hernán MA, Robins JM. Using big data to emulate a target trial when a randomized trial is not available. Am J Epidemiol. 2016;183(8):758-763. doi:10.1093/aje/kwv341</w:t>
      </w:r>
    </w:p>
    <w:p w14:paraId="0F673FE6" w14:textId="77777777" w:rsidR="00D50F82" w:rsidRDefault="00D50F82" w:rsidP="00D50F82">
      <w:pPr>
        <w:pStyle w:val="my-2"/>
        <w:numPr>
          <w:ilvl w:val="0"/>
          <w:numId w:val="5"/>
        </w:numPr>
      </w:pPr>
      <w:r>
        <w:t>Alonso-Fernandez-Gatta M, Merchan-Gomez S, Gonzalez-Cebrian M, et al. Levosimendan in veno-arterial extracorporeal membrane oxygenator supported patients: impact on the success of weaning and survival. Artif Organs. 2021;45(8):717-725. doi:10.1111/aor.13890</w:t>
      </w:r>
    </w:p>
    <w:p w14:paraId="070B0ABD" w14:textId="77777777" w:rsidR="00D50F82" w:rsidRDefault="00D50F82" w:rsidP="00D50F82">
      <w:pPr>
        <w:pStyle w:val="my-2"/>
        <w:numPr>
          <w:ilvl w:val="0"/>
          <w:numId w:val="5"/>
        </w:numPr>
      </w:pPr>
      <w:r>
        <w:lastRenderedPageBreak/>
        <w:t>Hau M, Fong KM, Au SY. Levosimendan’s effect on venoarterial extracorporeal membrane oxygenation weaning. Int J Artif Organs. 2022;45(7):571-579. doi:10.1177/03913988221098765</w:t>
      </w:r>
    </w:p>
    <w:p w14:paraId="4DA7A045" w14:textId="77777777" w:rsidR="00D50F82" w:rsidRDefault="00D50F82" w:rsidP="00D50F82">
      <w:pPr>
        <w:pStyle w:val="my-2"/>
        <w:numPr>
          <w:ilvl w:val="0"/>
          <w:numId w:val="5"/>
        </w:numPr>
      </w:pPr>
      <w:r>
        <w:t>Chen YW, Lee WC, Wu PJ, et al. Early levosimendan administration improved weaning success rate in extracorporeal membrane oxygenation in patients with cardiogenic shock. Front Cardiovasc Med. 2022;9:912321. doi:10.3389/fcvm.2022.912321</w:t>
      </w:r>
    </w:p>
    <w:p w14:paraId="32BC45F8" w14:textId="77777777" w:rsidR="00D50F82" w:rsidRDefault="00D50F82" w:rsidP="00D50F82">
      <w:pPr>
        <w:pStyle w:val="my-2"/>
        <w:numPr>
          <w:ilvl w:val="0"/>
          <w:numId w:val="5"/>
        </w:numPr>
      </w:pPr>
      <w:r>
        <w:t>Kaddoura R, Orabi B, Omar AS, et al. The role of levosimendan in extracorporeal membrane oxygenation for refractory cardiac arrest. J Cardiothorac Vasc Anesth. 2025;39(6):957-966. doi:10.1053/j.jvca.2024.12.015</w:t>
      </w:r>
    </w:p>
    <w:p w14:paraId="7BD4F8D5" w14:textId="77777777" w:rsidR="00D50F82" w:rsidRDefault="00D50F82" w:rsidP="00D50F82">
      <w:pPr>
        <w:pStyle w:val="my-2"/>
        <w:numPr>
          <w:ilvl w:val="0"/>
          <w:numId w:val="5"/>
        </w:numPr>
      </w:pPr>
      <w:r>
        <w:t>Distelmaier K, Roth C, Schrutka L, et al. Beneficial effects of levosimendan on survival in patients undergoing extracorporeal membrane oxygenation after cardiovascular surgery. Br J Anaesth. 2016;117(1):52-58. doi:10.1093/bja/aew123</w:t>
      </w:r>
    </w:p>
    <w:p w14:paraId="345AF6FF" w14:textId="77777777" w:rsidR="00D50F82" w:rsidRDefault="00D50F82" w:rsidP="00D50F82">
      <w:pPr>
        <w:pStyle w:val="my-2"/>
        <w:numPr>
          <w:ilvl w:val="0"/>
          <w:numId w:val="5"/>
        </w:numPr>
      </w:pPr>
      <w:r>
        <w:t>Chen DL, Lin YK, Wang GJ, Chang KC. Effect of levosimendan use on all-cause mortality in out-of-hospital cardiac arrest survivors after extracorporeal cardiopulmonary resuscitation. Biomedicines. 2025;13(4):955. doi:10.3390/biomedicines13040955</w:t>
      </w:r>
    </w:p>
    <w:p w14:paraId="20C2529B" w14:textId="77777777" w:rsidR="00DF323C" w:rsidRPr="00D50F82" w:rsidRDefault="00DF323C" w:rsidP="00D50F82">
      <w:pPr>
        <w:spacing w:after="120" w:line="480" w:lineRule="auto"/>
        <w:rPr>
          <w:b/>
          <w:bCs/>
        </w:rPr>
      </w:pPr>
    </w:p>
    <w:p w14:paraId="59E7C01A" w14:textId="77777777" w:rsidR="00DF323C" w:rsidRDefault="00DF323C" w:rsidP="005B6CBD">
      <w:pPr>
        <w:spacing w:after="120" w:line="480" w:lineRule="auto"/>
        <w:rPr>
          <w:rFonts w:asciiTheme="minorHAnsi" w:hAnsiTheme="minorHAnsi" w:cstheme="minorHAnsi"/>
          <w:b/>
          <w:bCs/>
        </w:rPr>
      </w:pPr>
    </w:p>
    <w:p w14:paraId="2AC17D56" w14:textId="77777777" w:rsidR="00DF323C" w:rsidRDefault="00DF323C" w:rsidP="005B6CBD">
      <w:pPr>
        <w:spacing w:after="120" w:line="480" w:lineRule="auto"/>
        <w:rPr>
          <w:rFonts w:asciiTheme="minorHAnsi" w:hAnsiTheme="minorHAnsi" w:cstheme="minorHAnsi"/>
          <w:b/>
          <w:bCs/>
        </w:rPr>
      </w:pPr>
    </w:p>
    <w:p w14:paraId="5BF2288D" w14:textId="77777777" w:rsidR="000F69BE" w:rsidRDefault="000F69BE" w:rsidP="00DF323C">
      <w:pPr>
        <w:pStyle w:val="Heading1"/>
      </w:pPr>
    </w:p>
    <w:p w14:paraId="740AA108" w14:textId="77777777" w:rsidR="009C567F" w:rsidRDefault="009C567F" w:rsidP="00DF323C">
      <w:pPr>
        <w:pStyle w:val="Heading1"/>
      </w:pPr>
    </w:p>
    <w:p w14:paraId="56D09AC1" w14:textId="77777777" w:rsidR="009C567F" w:rsidRDefault="009C567F" w:rsidP="00DF323C">
      <w:pPr>
        <w:pStyle w:val="Heading1"/>
      </w:pPr>
    </w:p>
    <w:p w14:paraId="1BCDB8DB" w14:textId="77777777" w:rsidR="00D50F82" w:rsidRDefault="00D50F82" w:rsidP="00DF323C">
      <w:pPr>
        <w:pStyle w:val="Heading1"/>
      </w:pPr>
    </w:p>
    <w:p w14:paraId="3E395BC3" w14:textId="77777777" w:rsidR="00D50F82" w:rsidRDefault="00D50F82" w:rsidP="00DF323C">
      <w:pPr>
        <w:pStyle w:val="Heading1"/>
      </w:pPr>
    </w:p>
    <w:p w14:paraId="39821624" w14:textId="77777777" w:rsidR="00D50F82" w:rsidRDefault="00D50F82" w:rsidP="00DF323C">
      <w:pPr>
        <w:pStyle w:val="Heading1"/>
      </w:pPr>
    </w:p>
    <w:p w14:paraId="534ABB15" w14:textId="77777777" w:rsidR="00DA606A" w:rsidRDefault="00DA606A" w:rsidP="00DF323C">
      <w:pPr>
        <w:pStyle w:val="Heading1"/>
      </w:pPr>
    </w:p>
    <w:p w14:paraId="1FA18B8B" w14:textId="3402FCD5" w:rsidR="00995FC0" w:rsidRPr="00995FC0" w:rsidRDefault="00DF323C" w:rsidP="00995FC0">
      <w:pPr>
        <w:pStyle w:val="Heading1"/>
        <w:jc w:val="center"/>
        <w:rPr>
          <w:sz w:val="32"/>
          <w:szCs w:val="32"/>
          <w:u w:val="single"/>
        </w:rPr>
      </w:pPr>
      <w:r w:rsidRPr="00995FC0">
        <w:rPr>
          <w:sz w:val="32"/>
          <w:szCs w:val="32"/>
          <w:u w:val="single"/>
        </w:rPr>
        <w:lastRenderedPageBreak/>
        <w:t xml:space="preserve">Figure </w:t>
      </w:r>
      <w:r w:rsidR="00995FC0">
        <w:rPr>
          <w:sz w:val="32"/>
          <w:szCs w:val="32"/>
          <w:u w:val="single"/>
        </w:rPr>
        <w:t>L</w:t>
      </w:r>
      <w:r w:rsidRPr="00995FC0">
        <w:rPr>
          <w:sz w:val="32"/>
          <w:szCs w:val="32"/>
          <w:u w:val="single"/>
        </w:rPr>
        <w:t>egend</w:t>
      </w:r>
    </w:p>
    <w:p w14:paraId="2323D839" w14:textId="77777777" w:rsidR="00995FC0" w:rsidRDefault="00995FC0" w:rsidP="00995FC0">
      <w:pPr>
        <w:spacing w:after="120" w:line="360" w:lineRule="auto"/>
        <w:rPr>
          <w:rFonts w:asciiTheme="minorHAnsi" w:hAnsiTheme="minorHAnsi" w:cstheme="minorHAnsi"/>
          <w:b/>
          <w:bCs/>
        </w:rPr>
      </w:pPr>
    </w:p>
    <w:p w14:paraId="3C8D8C30" w14:textId="09B295A7" w:rsidR="00995FC0" w:rsidRPr="003A66D8" w:rsidRDefault="00995FC0" w:rsidP="00995FC0">
      <w:pPr>
        <w:spacing w:after="120" w:line="360" w:lineRule="auto"/>
        <w:jc w:val="both"/>
        <w:rPr>
          <w:rFonts w:asciiTheme="minorHAnsi" w:hAnsiTheme="minorHAnsi" w:cstheme="minorHAnsi"/>
        </w:rPr>
      </w:pPr>
      <w:r>
        <w:rPr>
          <w:rFonts w:asciiTheme="minorHAnsi" w:hAnsiTheme="minorHAnsi" w:cstheme="minorHAnsi"/>
          <w:b/>
          <w:bCs/>
        </w:rPr>
        <w:t>Figure #1</w:t>
      </w:r>
      <w:r>
        <w:rPr>
          <w:rFonts w:asciiTheme="minorHAnsi" w:hAnsiTheme="minorHAnsi" w:cstheme="minorHAnsi"/>
        </w:rPr>
        <w:t>. PRISMA 2020 flow diagram of study identification, screening, and inclusion.</w:t>
      </w:r>
    </w:p>
    <w:p w14:paraId="1D47EFE5" w14:textId="6740BDBF" w:rsidR="00995FC0" w:rsidRPr="003A66D8" w:rsidRDefault="00995FC0" w:rsidP="00995FC0">
      <w:pPr>
        <w:spacing w:after="120" w:line="360" w:lineRule="auto"/>
        <w:jc w:val="both"/>
        <w:rPr>
          <w:rFonts w:asciiTheme="minorHAnsi" w:hAnsiTheme="minorHAnsi" w:cstheme="minorHAnsi"/>
        </w:rPr>
      </w:pPr>
      <w:r>
        <w:rPr>
          <w:rFonts w:asciiTheme="minorHAnsi" w:hAnsiTheme="minorHAnsi" w:cstheme="minorHAnsi"/>
          <w:b/>
          <w:bCs/>
        </w:rPr>
        <w:t xml:space="preserve">Figure #2. </w:t>
      </w:r>
      <w:r>
        <w:rPr>
          <w:rFonts w:asciiTheme="minorHAnsi" w:hAnsiTheme="minorHAnsi" w:cstheme="minorHAnsi"/>
        </w:rPr>
        <w:t xml:space="preserve"> Baseline characteristics of included studies </w:t>
      </w:r>
    </w:p>
    <w:p w14:paraId="6BCAF197" w14:textId="2D6452BB" w:rsidR="00995FC0" w:rsidRPr="003A66D8" w:rsidRDefault="00995FC0" w:rsidP="00995FC0">
      <w:pPr>
        <w:spacing w:after="120" w:line="360" w:lineRule="auto"/>
        <w:jc w:val="both"/>
        <w:rPr>
          <w:rFonts w:asciiTheme="minorHAnsi" w:hAnsiTheme="minorHAnsi" w:cstheme="minorHAnsi"/>
        </w:rPr>
      </w:pPr>
      <w:r>
        <w:rPr>
          <w:rFonts w:asciiTheme="minorHAnsi" w:hAnsiTheme="minorHAnsi" w:cstheme="minorHAnsi"/>
          <w:b/>
          <w:bCs/>
        </w:rPr>
        <w:t xml:space="preserve">Figure #3a. </w:t>
      </w:r>
      <w:r>
        <w:rPr>
          <w:rFonts w:asciiTheme="minorHAnsi" w:hAnsiTheme="minorHAnsi" w:cstheme="minorHAnsi"/>
        </w:rPr>
        <w:t xml:space="preserve"> Primary Outcome 1- All cause mortality</w:t>
      </w:r>
    </w:p>
    <w:p w14:paraId="63A3200B" w14:textId="1ADB5703" w:rsidR="00995FC0" w:rsidRDefault="00995FC0" w:rsidP="00995FC0">
      <w:pPr>
        <w:spacing w:after="160" w:line="360" w:lineRule="auto"/>
        <w:jc w:val="both"/>
      </w:pPr>
      <w:r>
        <w:rPr>
          <w:rFonts w:asciiTheme="minorHAnsi" w:hAnsiTheme="minorHAnsi" w:cstheme="minorHAnsi"/>
          <w:b/>
        </w:rPr>
        <w:t>Figure #3b</w:t>
      </w:r>
      <w:r>
        <w:rPr>
          <w:rFonts w:asciiTheme="minorHAnsi" w:hAnsiTheme="minorHAnsi" w:cstheme="minorHAnsi"/>
        </w:rPr>
        <w:t>. Primary Outcome 1 - All-cause mortality, subgroup analysis by study design</w:t>
      </w:r>
    </w:p>
    <w:p w14:paraId="04113F4F" w14:textId="6BDC3E63" w:rsidR="00995FC0" w:rsidRDefault="00995FC0" w:rsidP="00995FC0">
      <w:pPr>
        <w:spacing w:after="160" w:line="360" w:lineRule="auto"/>
        <w:jc w:val="both"/>
      </w:pPr>
      <w:r>
        <w:rPr>
          <w:rFonts w:asciiTheme="minorHAnsi" w:hAnsiTheme="minorHAnsi" w:cstheme="minorHAnsi"/>
          <w:b/>
        </w:rPr>
        <w:t xml:space="preserve">Figure #4a. </w:t>
      </w:r>
      <w:r>
        <w:rPr>
          <w:rFonts w:asciiTheme="minorHAnsi" w:hAnsiTheme="minorHAnsi" w:cstheme="minorHAnsi"/>
        </w:rPr>
        <w:t xml:space="preserve">Primary Outcome 2 – </w:t>
      </w:r>
      <w:r w:rsidR="00F626B3">
        <w:rPr>
          <w:rFonts w:asciiTheme="minorHAnsi" w:hAnsiTheme="minorHAnsi" w:cstheme="minorHAnsi"/>
        </w:rPr>
        <w:t>S</w:t>
      </w:r>
      <w:r>
        <w:rPr>
          <w:rFonts w:asciiTheme="minorHAnsi" w:hAnsiTheme="minorHAnsi" w:cstheme="minorHAnsi"/>
        </w:rPr>
        <w:t>uccessful weaning from mechanical circulatory support.</w:t>
      </w:r>
    </w:p>
    <w:p w14:paraId="24B67019" w14:textId="1FFD4283" w:rsidR="00995FC0" w:rsidRDefault="00995FC0" w:rsidP="00995FC0">
      <w:pPr>
        <w:spacing w:after="160" w:line="360" w:lineRule="auto"/>
        <w:jc w:val="both"/>
      </w:pPr>
      <w:r>
        <w:rPr>
          <w:rFonts w:asciiTheme="minorHAnsi" w:hAnsiTheme="minorHAnsi" w:cstheme="minorHAnsi"/>
          <w:b/>
        </w:rPr>
        <w:t xml:space="preserve">Figure #4b. </w:t>
      </w:r>
      <w:r>
        <w:rPr>
          <w:rFonts w:asciiTheme="minorHAnsi" w:hAnsiTheme="minorHAnsi" w:cstheme="minorHAnsi"/>
        </w:rPr>
        <w:t xml:space="preserve"> Primary Outcome 2 – </w:t>
      </w:r>
      <w:r w:rsidR="00F626B3">
        <w:rPr>
          <w:rFonts w:asciiTheme="minorHAnsi" w:hAnsiTheme="minorHAnsi" w:cstheme="minorHAnsi"/>
        </w:rPr>
        <w:t>S</w:t>
      </w:r>
      <w:r>
        <w:rPr>
          <w:rFonts w:asciiTheme="minorHAnsi" w:hAnsiTheme="minorHAnsi" w:cstheme="minorHAnsi"/>
        </w:rPr>
        <w:t>uccessful weaning, subgroup analysis by study design.</w:t>
      </w:r>
    </w:p>
    <w:p w14:paraId="05F743FB" w14:textId="18668C32" w:rsidR="00995FC0" w:rsidRDefault="00995FC0" w:rsidP="00995FC0">
      <w:pPr>
        <w:spacing w:after="160" w:line="360" w:lineRule="auto"/>
        <w:jc w:val="both"/>
      </w:pPr>
      <w:r>
        <w:rPr>
          <w:rFonts w:asciiTheme="minorHAnsi" w:hAnsiTheme="minorHAnsi" w:cstheme="minorHAnsi"/>
          <w:b/>
        </w:rPr>
        <w:t xml:space="preserve">Figure #5. </w:t>
      </w:r>
      <w:r>
        <w:rPr>
          <w:rFonts w:asciiTheme="minorHAnsi" w:hAnsiTheme="minorHAnsi" w:cstheme="minorHAnsi"/>
        </w:rPr>
        <w:t xml:space="preserve"> Secondary Outcome 1 – </w:t>
      </w:r>
      <w:r w:rsidR="00F626B3">
        <w:rPr>
          <w:rFonts w:asciiTheme="minorHAnsi" w:hAnsiTheme="minorHAnsi" w:cstheme="minorHAnsi"/>
        </w:rPr>
        <w:t>D</w:t>
      </w:r>
      <w:r>
        <w:rPr>
          <w:rFonts w:asciiTheme="minorHAnsi" w:hAnsiTheme="minorHAnsi" w:cstheme="minorHAnsi"/>
        </w:rPr>
        <w:t>uration of mechanical circulatory support, subgroup analysis by study design.</w:t>
      </w:r>
    </w:p>
    <w:p w14:paraId="79F79FF0" w14:textId="4353563B" w:rsidR="00995FC0" w:rsidRDefault="00995FC0" w:rsidP="00995FC0">
      <w:pPr>
        <w:spacing w:after="160" w:line="360" w:lineRule="auto"/>
        <w:jc w:val="both"/>
      </w:pPr>
      <w:r>
        <w:rPr>
          <w:rFonts w:asciiTheme="minorHAnsi" w:hAnsiTheme="minorHAnsi" w:cstheme="minorHAnsi"/>
          <w:b/>
        </w:rPr>
        <w:t xml:space="preserve">Figure #6a. </w:t>
      </w:r>
      <w:r>
        <w:rPr>
          <w:rFonts w:asciiTheme="minorHAnsi" w:hAnsiTheme="minorHAnsi" w:cstheme="minorHAnsi"/>
        </w:rPr>
        <w:t xml:space="preserve">Secondary Outcome 2 – </w:t>
      </w:r>
      <w:r w:rsidR="00F626B3">
        <w:rPr>
          <w:rFonts w:asciiTheme="minorHAnsi" w:hAnsiTheme="minorHAnsi" w:cstheme="minorHAnsi"/>
        </w:rPr>
        <w:t>I</w:t>
      </w:r>
      <w:r>
        <w:rPr>
          <w:rFonts w:asciiTheme="minorHAnsi" w:hAnsiTheme="minorHAnsi" w:cstheme="minorHAnsi"/>
        </w:rPr>
        <w:t>ntensive care unit length of stay.</w:t>
      </w:r>
    </w:p>
    <w:p w14:paraId="2BBFBD63" w14:textId="390E0C60" w:rsidR="00995FC0" w:rsidRDefault="00995FC0" w:rsidP="00995FC0">
      <w:pPr>
        <w:spacing w:after="160" w:line="360" w:lineRule="auto"/>
        <w:jc w:val="both"/>
      </w:pPr>
      <w:r>
        <w:rPr>
          <w:rFonts w:asciiTheme="minorHAnsi" w:hAnsiTheme="minorHAnsi" w:cstheme="minorHAnsi"/>
          <w:b/>
        </w:rPr>
        <w:t xml:space="preserve">Figure #6b. </w:t>
      </w:r>
      <w:r>
        <w:rPr>
          <w:rFonts w:asciiTheme="minorHAnsi" w:hAnsiTheme="minorHAnsi" w:cstheme="minorHAnsi"/>
        </w:rPr>
        <w:t xml:space="preserve"> Secondary Outcome 2 – </w:t>
      </w:r>
      <w:r w:rsidR="00F626B3">
        <w:rPr>
          <w:rFonts w:asciiTheme="minorHAnsi" w:hAnsiTheme="minorHAnsi" w:cstheme="minorHAnsi"/>
        </w:rPr>
        <w:t>I</w:t>
      </w:r>
      <w:r>
        <w:rPr>
          <w:rFonts w:asciiTheme="minorHAnsi" w:hAnsiTheme="minorHAnsi" w:cstheme="minorHAnsi"/>
        </w:rPr>
        <w:t>ntensive care unit length of stay, sensitivity analysis.</w:t>
      </w:r>
    </w:p>
    <w:p w14:paraId="75D15AE6" w14:textId="1D87F9C7" w:rsidR="00995FC0" w:rsidRDefault="00995FC0" w:rsidP="00995FC0">
      <w:pPr>
        <w:spacing w:after="160" w:line="360" w:lineRule="auto"/>
        <w:jc w:val="both"/>
      </w:pPr>
      <w:r>
        <w:rPr>
          <w:rFonts w:asciiTheme="minorHAnsi" w:hAnsiTheme="minorHAnsi" w:cstheme="minorHAnsi"/>
          <w:b/>
        </w:rPr>
        <w:t xml:space="preserve">Figure #7a. </w:t>
      </w:r>
      <w:r>
        <w:rPr>
          <w:rFonts w:asciiTheme="minorHAnsi" w:hAnsiTheme="minorHAnsi" w:cstheme="minorHAnsi"/>
        </w:rPr>
        <w:t xml:space="preserve">Secondary Outcome 3 – </w:t>
      </w:r>
      <w:r w:rsidR="00F626B3">
        <w:rPr>
          <w:rFonts w:asciiTheme="minorHAnsi" w:hAnsiTheme="minorHAnsi" w:cstheme="minorHAnsi"/>
        </w:rPr>
        <w:t>H</w:t>
      </w:r>
      <w:r>
        <w:rPr>
          <w:rFonts w:asciiTheme="minorHAnsi" w:hAnsiTheme="minorHAnsi" w:cstheme="minorHAnsi"/>
        </w:rPr>
        <w:t>ospital length of stay.</w:t>
      </w:r>
    </w:p>
    <w:p w14:paraId="7B9924E2" w14:textId="22F2293E" w:rsidR="00995FC0" w:rsidRDefault="00995FC0" w:rsidP="00995FC0">
      <w:pPr>
        <w:spacing w:after="160" w:line="360" w:lineRule="auto"/>
        <w:jc w:val="both"/>
      </w:pPr>
      <w:r>
        <w:rPr>
          <w:rFonts w:asciiTheme="minorHAnsi" w:hAnsiTheme="minorHAnsi" w:cstheme="minorHAnsi"/>
          <w:b/>
        </w:rPr>
        <w:t xml:space="preserve">Figure #7b. </w:t>
      </w:r>
      <w:r>
        <w:rPr>
          <w:rFonts w:asciiTheme="minorHAnsi" w:hAnsiTheme="minorHAnsi" w:cstheme="minorHAnsi"/>
        </w:rPr>
        <w:t xml:space="preserve"> Secondary Outcome 3 – </w:t>
      </w:r>
      <w:r w:rsidR="00F626B3">
        <w:rPr>
          <w:rFonts w:asciiTheme="minorHAnsi" w:hAnsiTheme="minorHAnsi" w:cstheme="minorHAnsi"/>
        </w:rPr>
        <w:t>H</w:t>
      </w:r>
      <w:r>
        <w:rPr>
          <w:rFonts w:asciiTheme="minorHAnsi" w:hAnsiTheme="minorHAnsi" w:cstheme="minorHAnsi"/>
        </w:rPr>
        <w:t>ospital length of stay, sensitivity analysis.</w:t>
      </w:r>
    </w:p>
    <w:p w14:paraId="3D28F1B4" w14:textId="00D64A50" w:rsidR="00995FC0" w:rsidRDefault="00995FC0" w:rsidP="00995FC0">
      <w:pPr>
        <w:spacing w:after="160" w:line="360" w:lineRule="auto"/>
        <w:jc w:val="both"/>
      </w:pPr>
      <w:r>
        <w:rPr>
          <w:rFonts w:asciiTheme="minorHAnsi" w:hAnsiTheme="minorHAnsi" w:cstheme="minorHAnsi"/>
          <w:b/>
        </w:rPr>
        <w:t xml:space="preserve">Figure #7c. </w:t>
      </w:r>
      <w:r>
        <w:rPr>
          <w:rFonts w:asciiTheme="minorHAnsi" w:hAnsiTheme="minorHAnsi" w:cstheme="minorHAnsi"/>
        </w:rPr>
        <w:t xml:space="preserve"> Secondary Outcome 3 – </w:t>
      </w:r>
      <w:r w:rsidR="00F626B3">
        <w:rPr>
          <w:rFonts w:asciiTheme="minorHAnsi" w:hAnsiTheme="minorHAnsi" w:cstheme="minorHAnsi"/>
        </w:rPr>
        <w:t>H</w:t>
      </w:r>
      <w:r>
        <w:rPr>
          <w:rFonts w:asciiTheme="minorHAnsi" w:hAnsiTheme="minorHAnsi" w:cstheme="minorHAnsi"/>
        </w:rPr>
        <w:t>ospital length of stay, subgroup analysis by study design.</w:t>
      </w:r>
    </w:p>
    <w:p w14:paraId="66CD6D1E" w14:textId="6873C962" w:rsidR="00995FC0" w:rsidRDefault="00995FC0" w:rsidP="00995FC0">
      <w:pPr>
        <w:spacing w:after="160" w:line="360" w:lineRule="auto"/>
        <w:jc w:val="both"/>
      </w:pPr>
      <w:r>
        <w:rPr>
          <w:rFonts w:asciiTheme="minorHAnsi" w:hAnsiTheme="minorHAnsi" w:cstheme="minorHAnsi"/>
          <w:b/>
        </w:rPr>
        <w:t xml:space="preserve">Figure #8. </w:t>
      </w:r>
      <w:r>
        <w:rPr>
          <w:rFonts w:asciiTheme="minorHAnsi" w:hAnsiTheme="minorHAnsi" w:cstheme="minorHAnsi"/>
        </w:rPr>
        <w:t xml:space="preserve"> Secondary Outcome 4 – </w:t>
      </w:r>
      <w:r w:rsidR="00F626B3">
        <w:rPr>
          <w:rFonts w:asciiTheme="minorHAnsi" w:hAnsiTheme="minorHAnsi" w:cstheme="minorHAnsi"/>
        </w:rPr>
        <w:t>A</w:t>
      </w:r>
      <w:r>
        <w:rPr>
          <w:rFonts w:asciiTheme="minorHAnsi" w:hAnsiTheme="minorHAnsi" w:cstheme="minorHAnsi"/>
        </w:rPr>
        <w:t>rrhythmia</w:t>
      </w:r>
      <w:r w:rsidR="00083D16">
        <w:rPr>
          <w:rFonts w:asciiTheme="minorHAnsi" w:hAnsiTheme="minorHAnsi" w:cstheme="minorHAnsi"/>
        </w:rPr>
        <w:t>s.</w:t>
      </w:r>
    </w:p>
    <w:p w14:paraId="07B9A6B5" w14:textId="77777777" w:rsidR="00381758" w:rsidRPr="003A66D8" w:rsidRDefault="00381758" w:rsidP="00381758">
      <w:pPr>
        <w:pStyle w:val="Heading1"/>
        <w:rPr>
          <w:rStyle w:val="BookTitle"/>
          <w:rFonts w:asciiTheme="minorHAnsi" w:hAnsiTheme="minorHAnsi" w:cstheme="minorHAnsi"/>
          <w:i w:val="0"/>
          <w:iCs w:val="0"/>
          <w:spacing w:val="0"/>
          <w:sz w:val="24"/>
          <w:szCs w:val="24"/>
        </w:rPr>
      </w:pPr>
    </w:p>
    <w:p w14:paraId="783D2EB7" w14:textId="77777777" w:rsidR="00381758" w:rsidRDefault="00381758" w:rsidP="00DF323C">
      <w:pPr>
        <w:spacing w:after="120" w:line="480" w:lineRule="auto"/>
      </w:pPr>
    </w:p>
    <w:p w14:paraId="5E360ED3" w14:textId="77777777" w:rsidR="00CA5576" w:rsidRDefault="00CA5576" w:rsidP="00DF323C">
      <w:pPr>
        <w:spacing w:after="120" w:line="480" w:lineRule="auto"/>
      </w:pPr>
    </w:p>
    <w:p w14:paraId="18481B8C" w14:textId="77777777" w:rsidR="00DF323C" w:rsidRDefault="00DF323C" w:rsidP="00DF323C">
      <w:pPr>
        <w:spacing w:after="120" w:line="480" w:lineRule="auto"/>
      </w:pPr>
    </w:p>
    <w:p w14:paraId="21558A4D" w14:textId="4157675C" w:rsidR="002E7899" w:rsidRPr="007C7990" w:rsidRDefault="002E7899" w:rsidP="002E7899">
      <w:pPr>
        <w:pageBreakBefore/>
        <w:spacing w:after="120" w:line="480" w:lineRule="auto"/>
        <w:rPr>
          <w:b/>
          <w:bCs/>
        </w:rPr>
      </w:pPr>
      <w:r w:rsidRPr="007C7990">
        <w:rPr>
          <w:rFonts w:asciiTheme="minorHAnsi" w:hAnsiTheme="minorHAnsi" w:cstheme="minorHAnsi"/>
          <w:b/>
          <w:bCs/>
        </w:rPr>
        <w:lastRenderedPageBreak/>
        <w:t>Figure 1</w:t>
      </w:r>
      <w:r w:rsidRPr="007C7990">
        <w:rPr>
          <w:b/>
          <w:bCs/>
        </w:rPr>
        <w:t xml:space="preserve">. </w:t>
      </w:r>
      <w:r w:rsidRPr="007C7990">
        <w:rPr>
          <w:rFonts w:asciiTheme="minorHAnsi" w:hAnsiTheme="minorHAnsi" w:cstheme="minorHAnsi"/>
          <w:b/>
          <w:bCs/>
        </w:rPr>
        <w:t xml:space="preserve">PRISMA 2020 </w:t>
      </w:r>
      <w:r w:rsidR="00BB427B">
        <w:rPr>
          <w:rFonts w:asciiTheme="minorHAnsi" w:hAnsiTheme="minorHAnsi" w:cstheme="minorHAnsi"/>
          <w:b/>
          <w:bCs/>
        </w:rPr>
        <w:t>F</w:t>
      </w:r>
      <w:r w:rsidRPr="007C7990">
        <w:rPr>
          <w:rFonts w:asciiTheme="minorHAnsi" w:hAnsiTheme="minorHAnsi" w:cstheme="minorHAnsi"/>
          <w:b/>
          <w:bCs/>
        </w:rPr>
        <w:t>low diagram of study identification, screening, and inclusion</w:t>
      </w:r>
    </w:p>
    <w:p w14:paraId="69A7678A" w14:textId="77777777" w:rsidR="00DF323C" w:rsidRDefault="00DF323C" w:rsidP="00DF323C">
      <w:pPr>
        <w:spacing w:after="120" w:line="480" w:lineRule="auto"/>
      </w:pPr>
    </w:p>
    <w:p w14:paraId="563C027B" w14:textId="77777777" w:rsidR="00DF323C" w:rsidRDefault="00DF323C" w:rsidP="00DF323C">
      <w:pPr>
        <w:spacing w:after="120" w:line="480" w:lineRule="auto"/>
      </w:pPr>
    </w:p>
    <w:p w14:paraId="5738115B" w14:textId="77777777" w:rsidR="00DF323C" w:rsidRDefault="002E7899" w:rsidP="00DF323C">
      <w:pPr>
        <w:spacing w:after="120" w:line="480" w:lineRule="auto"/>
      </w:pPr>
      <w:r>
        <w:rPr>
          <w:noProof/>
        </w:rPr>
        <w:drawing>
          <wp:anchor distT="0" distB="0" distL="114300" distR="114300" simplePos="0" relativeHeight="251664384" behindDoc="0" locked="0" layoutInCell="1" allowOverlap="1" wp14:anchorId="023EDA7D" wp14:editId="40509F76">
            <wp:simplePos x="0" y="0"/>
            <wp:positionH relativeFrom="margin">
              <wp:posOffset>554990</wp:posOffset>
            </wp:positionH>
            <wp:positionV relativeFrom="page">
              <wp:posOffset>1847850</wp:posOffset>
            </wp:positionV>
            <wp:extent cx="4547870" cy="6833235"/>
            <wp:effectExtent l="0" t="0" r="508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4547870" cy="6833235"/>
                    </a:xfrm>
                    <a:prstGeom prst="rect">
                      <a:avLst/>
                    </a:prstGeom>
                  </pic:spPr>
                </pic:pic>
              </a:graphicData>
            </a:graphic>
            <wp14:sizeRelH relativeFrom="margin">
              <wp14:pctWidth>0</wp14:pctWidth>
            </wp14:sizeRelH>
            <wp14:sizeRelV relativeFrom="margin">
              <wp14:pctHeight>0</wp14:pctHeight>
            </wp14:sizeRelV>
          </wp:anchor>
        </w:drawing>
      </w:r>
    </w:p>
    <w:p w14:paraId="1CFEC6BF" w14:textId="77777777" w:rsidR="00DF323C" w:rsidRDefault="00DF323C" w:rsidP="00DF323C">
      <w:pPr>
        <w:spacing w:after="120" w:line="480" w:lineRule="auto"/>
      </w:pPr>
    </w:p>
    <w:p w14:paraId="751B5C6F" w14:textId="77777777" w:rsidR="00DF323C" w:rsidRDefault="00DF323C" w:rsidP="00DF323C">
      <w:pPr>
        <w:spacing w:after="120" w:line="480" w:lineRule="auto"/>
      </w:pPr>
    </w:p>
    <w:p w14:paraId="35B6005E" w14:textId="77777777" w:rsidR="00DF323C" w:rsidRDefault="00DF323C" w:rsidP="00DF323C">
      <w:pPr>
        <w:spacing w:after="120" w:line="480" w:lineRule="auto"/>
      </w:pPr>
    </w:p>
    <w:p w14:paraId="2238DB4F" w14:textId="77777777" w:rsidR="002E7899" w:rsidRDefault="002E7899" w:rsidP="00DF323C"/>
    <w:p w14:paraId="7A423246" w14:textId="77777777" w:rsidR="002E7899" w:rsidRDefault="002E7899" w:rsidP="00DF323C"/>
    <w:p w14:paraId="588F99B2" w14:textId="77777777" w:rsidR="002E7899" w:rsidRDefault="002E7899" w:rsidP="00DF323C"/>
    <w:p w14:paraId="18081BA8" w14:textId="77777777" w:rsidR="002E7899" w:rsidRDefault="002E7899" w:rsidP="00DF323C"/>
    <w:p w14:paraId="0A19B548" w14:textId="77777777" w:rsidR="002E7899" w:rsidRDefault="002E7899" w:rsidP="00DF323C"/>
    <w:p w14:paraId="174C35F1" w14:textId="77777777" w:rsidR="002E7899" w:rsidRDefault="002E7899" w:rsidP="00DF323C"/>
    <w:p w14:paraId="61BE2D86" w14:textId="77777777" w:rsidR="002E7899" w:rsidRDefault="002E7899" w:rsidP="00DF323C"/>
    <w:p w14:paraId="57E558C0" w14:textId="77777777" w:rsidR="002E7899" w:rsidRDefault="002E7899" w:rsidP="00DF323C"/>
    <w:p w14:paraId="148AAD3F" w14:textId="77777777" w:rsidR="002E7899" w:rsidRDefault="002E7899" w:rsidP="00DF323C"/>
    <w:p w14:paraId="27250827" w14:textId="77777777" w:rsidR="002E7899" w:rsidRDefault="002E7899" w:rsidP="00DF323C"/>
    <w:p w14:paraId="52B697D5" w14:textId="77777777" w:rsidR="002E7899" w:rsidRDefault="002E7899" w:rsidP="00DF323C"/>
    <w:p w14:paraId="41EBB426" w14:textId="77777777" w:rsidR="002E7899" w:rsidRDefault="002E7899" w:rsidP="00DF323C"/>
    <w:p w14:paraId="0A6AF39E" w14:textId="77777777" w:rsidR="002E7899" w:rsidRDefault="002E7899" w:rsidP="00DF323C"/>
    <w:p w14:paraId="4410B7C2" w14:textId="77777777" w:rsidR="002E7899" w:rsidRDefault="002E7899" w:rsidP="00DF323C"/>
    <w:p w14:paraId="506672A1" w14:textId="77777777" w:rsidR="002E7899" w:rsidRDefault="002E7899" w:rsidP="00DF323C"/>
    <w:p w14:paraId="05486C93" w14:textId="77777777" w:rsidR="002E7899" w:rsidRDefault="002E7899" w:rsidP="00DF323C"/>
    <w:p w14:paraId="4679EDF6" w14:textId="77777777" w:rsidR="002E7899" w:rsidRDefault="002E7899" w:rsidP="00DF323C"/>
    <w:p w14:paraId="4EAAD6CD" w14:textId="77777777" w:rsidR="002E7899" w:rsidRDefault="002E7899" w:rsidP="00DF323C"/>
    <w:p w14:paraId="0AFF478C" w14:textId="77777777" w:rsidR="002E7899" w:rsidRDefault="002E7899" w:rsidP="00DF323C"/>
    <w:p w14:paraId="7E688DDD" w14:textId="77777777" w:rsidR="002E7899" w:rsidRDefault="002E7899" w:rsidP="00DF323C"/>
    <w:p w14:paraId="0C17467B" w14:textId="77777777" w:rsidR="002E7899" w:rsidRDefault="002E7899" w:rsidP="00DF323C"/>
    <w:p w14:paraId="73F7A570" w14:textId="77777777" w:rsidR="002E7899" w:rsidRDefault="002E7899" w:rsidP="00DF323C"/>
    <w:p w14:paraId="7E92A1D6" w14:textId="77777777" w:rsidR="002E7899" w:rsidRDefault="002E7899" w:rsidP="00DF323C"/>
    <w:p w14:paraId="5A577B2A" w14:textId="77777777" w:rsidR="002E7899" w:rsidRDefault="002E7899" w:rsidP="00DF323C"/>
    <w:p w14:paraId="691CCDCD" w14:textId="77777777" w:rsidR="002E7899" w:rsidRDefault="002E7899" w:rsidP="00DF323C"/>
    <w:p w14:paraId="11101F9F" w14:textId="77777777" w:rsidR="002E7899" w:rsidRDefault="002E7899" w:rsidP="00DF323C"/>
    <w:p w14:paraId="3299CAB0" w14:textId="77777777" w:rsidR="002E7899" w:rsidRDefault="002E7899" w:rsidP="00DF323C"/>
    <w:p w14:paraId="193EB803" w14:textId="756FA380" w:rsidR="007547E5" w:rsidRPr="003A66D8" w:rsidRDefault="007547E5" w:rsidP="007547E5">
      <w:pPr>
        <w:spacing w:after="120" w:line="480" w:lineRule="auto"/>
        <w:rPr>
          <w:rFonts w:asciiTheme="minorHAnsi" w:hAnsiTheme="minorHAnsi" w:cstheme="minorHAnsi"/>
        </w:rPr>
        <w:sectPr w:rsidR="007547E5" w:rsidRPr="003A66D8">
          <w:pgSz w:w="12240" w:h="15840"/>
          <w:pgMar w:top="1440" w:right="1440" w:bottom="1440" w:left="1440" w:header="720" w:footer="720" w:gutter="0"/>
          <w:cols w:space="720"/>
          <w:docGrid w:linePitch="360"/>
        </w:sectPr>
      </w:pPr>
    </w:p>
    <w:p w14:paraId="162601B7" w14:textId="1FD13004" w:rsidR="00A36F80" w:rsidRPr="007C7990" w:rsidRDefault="00000000">
      <w:pPr>
        <w:rPr>
          <w:sz w:val="28"/>
          <w:szCs w:val="28"/>
        </w:rPr>
      </w:pPr>
      <w:r w:rsidRPr="007C7990">
        <w:rPr>
          <w:b/>
          <w:szCs w:val="28"/>
        </w:rPr>
        <w:lastRenderedPageBreak/>
        <w:t xml:space="preserve">Figure 2. Characteristics of the </w:t>
      </w:r>
      <w:r w:rsidR="00BB427B">
        <w:rPr>
          <w:b/>
          <w:szCs w:val="28"/>
        </w:rPr>
        <w:t>I</w:t>
      </w:r>
      <w:r w:rsidRPr="007C7990">
        <w:rPr>
          <w:b/>
          <w:szCs w:val="28"/>
        </w:rPr>
        <w:t xml:space="preserve">ncluded </w:t>
      </w:r>
      <w:r w:rsidR="00BB427B">
        <w:rPr>
          <w:b/>
          <w:szCs w:val="28"/>
        </w:rPr>
        <w:t>S</w:t>
      </w:r>
      <w:r w:rsidRPr="007C7990">
        <w:rPr>
          <w:b/>
          <w:szCs w:val="28"/>
        </w:rPr>
        <w:t>tudies</w:t>
      </w:r>
    </w:p>
    <w:p w14:paraId="4B1C8CEA" w14:textId="77777777" w:rsidR="00A36F80" w:rsidRDefault="00A36F80"/>
    <w:tbl>
      <w:tblPr>
        <w:tblW w:w="13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1150"/>
        <w:gridCol w:w="1500"/>
        <w:gridCol w:w="900"/>
        <w:gridCol w:w="1300"/>
        <w:gridCol w:w="1000"/>
        <w:gridCol w:w="1250"/>
        <w:gridCol w:w="1500"/>
        <w:gridCol w:w="1350"/>
        <w:gridCol w:w="1700"/>
      </w:tblGrid>
      <w:tr w:rsidR="00A36F80" w14:paraId="2B705723" w14:textId="77777777">
        <w:trPr>
          <w:tblHeader/>
        </w:trPr>
        <w:tc>
          <w:tcPr>
            <w:tcW w:w="1500" w:type="dxa"/>
            <w:shd w:val="clear" w:color="auto" w:fill="1F3864"/>
          </w:tcPr>
          <w:p w14:paraId="2156D922" w14:textId="77777777" w:rsidR="00A36F80" w:rsidRPr="007C7990" w:rsidRDefault="00000000">
            <w:pPr>
              <w:rPr>
                <w:sz w:val="18"/>
                <w:szCs w:val="18"/>
              </w:rPr>
            </w:pPr>
            <w:r w:rsidRPr="007C7990">
              <w:rPr>
                <w:b/>
                <w:bCs/>
                <w:color w:val="FFFFFF"/>
                <w:sz w:val="18"/>
                <w:szCs w:val="18"/>
              </w:rPr>
              <w:t>Study (year)</w:t>
            </w:r>
          </w:p>
        </w:tc>
        <w:tc>
          <w:tcPr>
            <w:tcW w:w="1150" w:type="dxa"/>
            <w:shd w:val="clear" w:color="auto" w:fill="1F3864"/>
          </w:tcPr>
          <w:p w14:paraId="1BD4A4F3" w14:textId="77777777" w:rsidR="00A36F80" w:rsidRPr="007C7990" w:rsidRDefault="00000000">
            <w:pPr>
              <w:rPr>
                <w:sz w:val="18"/>
                <w:szCs w:val="18"/>
              </w:rPr>
            </w:pPr>
            <w:r w:rsidRPr="007C7990">
              <w:rPr>
                <w:b/>
                <w:bCs/>
                <w:color w:val="FFFFFF"/>
                <w:sz w:val="18"/>
                <w:szCs w:val="18"/>
              </w:rPr>
              <w:t>Country</w:t>
            </w:r>
          </w:p>
        </w:tc>
        <w:tc>
          <w:tcPr>
            <w:tcW w:w="1500" w:type="dxa"/>
            <w:shd w:val="clear" w:color="auto" w:fill="1F3864"/>
          </w:tcPr>
          <w:p w14:paraId="47C8CF93" w14:textId="77777777" w:rsidR="00A36F80" w:rsidRPr="007C7990" w:rsidRDefault="00000000">
            <w:pPr>
              <w:rPr>
                <w:sz w:val="18"/>
                <w:szCs w:val="18"/>
              </w:rPr>
            </w:pPr>
            <w:r w:rsidRPr="007C7990">
              <w:rPr>
                <w:b/>
                <w:bCs/>
                <w:color w:val="FFFFFF"/>
                <w:sz w:val="18"/>
                <w:szCs w:val="18"/>
              </w:rPr>
              <w:t>Design</w:t>
            </w:r>
          </w:p>
        </w:tc>
        <w:tc>
          <w:tcPr>
            <w:tcW w:w="900" w:type="dxa"/>
            <w:shd w:val="clear" w:color="auto" w:fill="1F3864"/>
          </w:tcPr>
          <w:p w14:paraId="7DD0174F" w14:textId="77777777" w:rsidR="00A36F80" w:rsidRPr="007C7990" w:rsidRDefault="00000000">
            <w:pPr>
              <w:rPr>
                <w:sz w:val="18"/>
                <w:szCs w:val="18"/>
              </w:rPr>
            </w:pPr>
            <w:r w:rsidRPr="007C7990">
              <w:rPr>
                <w:b/>
                <w:bCs/>
                <w:color w:val="FFFFFF"/>
                <w:sz w:val="18"/>
                <w:szCs w:val="18"/>
              </w:rPr>
              <w:t>N (L/C)</w:t>
            </w:r>
          </w:p>
        </w:tc>
        <w:tc>
          <w:tcPr>
            <w:tcW w:w="1300" w:type="dxa"/>
            <w:shd w:val="clear" w:color="auto" w:fill="1F3864"/>
          </w:tcPr>
          <w:p w14:paraId="331B3AE5" w14:textId="77777777" w:rsidR="00A36F80" w:rsidRPr="007C7990" w:rsidRDefault="00000000">
            <w:pPr>
              <w:rPr>
                <w:sz w:val="18"/>
                <w:szCs w:val="18"/>
              </w:rPr>
            </w:pPr>
            <w:r w:rsidRPr="007C7990">
              <w:rPr>
                <w:b/>
                <w:bCs/>
                <w:color w:val="FFFFFF"/>
                <w:sz w:val="18"/>
                <w:szCs w:val="18"/>
              </w:rPr>
              <w:t>Age (L / C)</w:t>
            </w:r>
          </w:p>
        </w:tc>
        <w:tc>
          <w:tcPr>
            <w:tcW w:w="1000" w:type="dxa"/>
            <w:shd w:val="clear" w:color="auto" w:fill="1F3864"/>
          </w:tcPr>
          <w:p w14:paraId="36AF2D26" w14:textId="77777777" w:rsidR="00A36F80" w:rsidRPr="007C7990" w:rsidRDefault="00000000">
            <w:pPr>
              <w:rPr>
                <w:sz w:val="18"/>
                <w:szCs w:val="18"/>
              </w:rPr>
            </w:pPr>
            <w:r w:rsidRPr="007C7990">
              <w:rPr>
                <w:b/>
                <w:bCs/>
                <w:color w:val="FFFFFF"/>
                <w:sz w:val="18"/>
                <w:szCs w:val="18"/>
              </w:rPr>
              <w:t>Male % (L/C)</w:t>
            </w:r>
          </w:p>
        </w:tc>
        <w:tc>
          <w:tcPr>
            <w:tcW w:w="1250" w:type="dxa"/>
            <w:shd w:val="clear" w:color="auto" w:fill="1F3864"/>
          </w:tcPr>
          <w:p w14:paraId="7963C8FE" w14:textId="77777777" w:rsidR="00A36F80" w:rsidRPr="007C7990" w:rsidRDefault="00000000">
            <w:pPr>
              <w:rPr>
                <w:sz w:val="18"/>
                <w:szCs w:val="18"/>
              </w:rPr>
            </w:pPr>
            <w:r w:rsidRPr="007C7990">
              <w:rPr>
                <w:b/>
                <w:bCs/>
                <w:color w:val="FFFFFF"/>
                <w:sz w:val="18"/>
                <w:szCs w:val="18"/>
              </w:rPr>
              <w:t>LVEF % (L/C)</w:t>
            </w:r>
          </w:p>
        </w:tc>
        <w:tc>
          <w:tcPr>
            <w:tcW w:w="1500" w:type="dxa"/>
            <w:shd w:val="clear" w:color="auto" w:fill="1F3864"/>
          </w:tcPr>
          <w:p w14:paraId="0422AF57" w14:textId="77777777" w:rsidR="00A36F80" w:rsidRPr="007C7990" w:rsidRDefault="00000000">
            <w:pPr>
              <w:rPr>
                <w:sz w:val="18"/>
                <w:szCs w:val="18"/>
              </w:rPr>
            </w:pPr>
            <w:r w:rsidRPr="007C7990">
              <w:rPr>
                <w:b/>
                <w:bCs/>
                <w:color w:val="FFFFFF"/>
                <w:sz w:val="18"/>
                <w:szCs w:val="18"/>
              </w:rPr>
              <w:t>Levosimendan regimen</w:t>
            </w:r>
          </w:p>
        </w:tc>
        <w:tc>
          <w:tcPr>
            <w:tcW w:w="1350" w:type="dxa"/>
            <w:shd w:val="clear" w:color="auto" w:fill="1F3864"/>
          </w:tcPr>
          <w:p w14:paraId="41AD41D8" w14:textId="77777777" w:rsidR="00A36F80" w:rsidRPr="007C7990" w:rsidRDefault="00000000">
            <w:pPr>
              <w:rPr>
                <w:sz w:val="18"/>
                <w:szCs w:val="18"/>
              </w:rPr>
            </w:pPr>
            <w:r w:rsidRPr="007C7990">
              <w:rPr>
                <w:b/>
                <w:bCs/>
                <w:color w:val="FFFFFF"/>
                <w:sz w:val="18"/>
                <w:szCs w:val="18"/>
              </w:rPr>
              <w:t>Timing</w:t>
            </w:r>
          </w:p>
        </w:tc>
        <w:tc>
          <w:tcPr>
            <w:tcW w:w="1700" w:type="dxa"/>
            <w:shd w:val="clear" w:color="auto" w:fill="1F3864"/>
          </w:tcPr>
          <w:p w14:paraId="2EC3DFE0" w14:textId="77777777" w:rsidR="00A36F80" w:rsidRPr="007C7990" w:rsidRDefault="00000000">
            <w:pPr>
              <w:rPr>
                <w:sz w:val="18"/>
                <w:szCs w:val="18"/>
              </w:rPr>
            </w:pPr>
            <w:r w:rsidRPr="007C7990">
              <w:rPr>
                <w:b/>
                <w:bCs/>
                <w:color w:val="FFFFFF"/>
                <w:sz w:val="18"/>
                <w:szCs w:val="18"/>
              </w:rPr>
              <w:t>Shock etiology</w:t>
            </w:r>
          </w:p>
        </w:tc>
      </w:tr>
      <w:tr w:rsidR="00A36F80" w14:paraId="64C550BC" w14:textId="77777777">
        <w:tc>
          <w:tcPr>
            <w:tcW w:w="1500" w:type="dxa"/>
          </w:tcPr>
          <w:p w14:paraId="0FCBAD7D" w14:textId="77777777" w:rsidR="00A36F80" w:rsidRPr="007C7990" w:rsidRDefault="00000000">
            <w:pPr>
              <w:rPr>
                <w:sz w:val="18"/>
                <w:szCs w:val="18"/>
              </w:rPr>
            </w:pPr>
            <w:r w:rsidRPr="007C7990">
              <w:rPr>
                <w:color w:val="000000"/>
                <w:sz w:val="18"/>
                <w:szCs w:val="18"/>
              </w:rPr>
              <w:t>Alonso-Fernandez-Gatta 2020</w:t>
            </w:r>
          </w:p>
        </w:tc>
        <w:tc>
          <w:tcPr>
            <w:tcW w:w="1150" w:type="dxa"/>
          </w:tcPr>
          <w:p w14:paraId="13CB4ABC" w14:textId="77777777" w:rsidR="00A36F80" w:rsidRPr="007C7990" w:rsidRDefault="00000000">
            <w:pPr>
              <w:rPr>
                <w:sz w:val="18"/>
                <w:szCs w:val="18"/>
              </w:rPr>
            </w:pPr>
            <w:r w:rsidRPr="007C7990">
              <w:rPr>
                <w:color w:val="000000"/>
                <w:sz w:val="18"/>
                <w:szCs w:val="18"/>
              </w:rPr>
              <w:t>Spain</w:t>
            </w:r>
          </w:p>
        </w:tc>
        <w:tc>
          <w:tcPr>
            <w:tcW w:w="1500" w:type="dxa"/>
          </w:tcPr>
          <w:p w14:paraId="78FEDC38" w14:textId="77777777" w:rsidR="00A36F80" w:rsidRPr="007C7990" w:rsidRDefault="00000000">
            <w:pPr>
              <w:rPr>
                <w:sz w:val="18"/>
                <w:szCs w:val="18"/>
              </w:rPr>
            </w:pPr>
            <w:r w:rsidRPr="007C7990">
              <w:rPr>
                <w:color w:val="000000"/>
                <w:sz w:val="18"/>
                <w:szCs w:val="18"/>
              </w:rPr>
              <w:t>Retrospective cohort</w:t>
            </w:r>
          </w:p>
        </w:tc>
        <w:tc>
          <w:tcPr>
            <w:tcW w:w="900" w:type="dxa"/>
          </w:tcPr>
          <w:p w14:paraId="64534CF3" w14:textId="77777777" w:rsidR="00A36F80" w:rsidRPr="007C7990" w:rsidRDefault="00000000">
            <w:pPr>
              <w:rPr>
                <w:sz w:val="18"/>
                <w:szCs w:val="18"/>
              </w:rPr>
            </w:pPr>
            <w:r w:rsidRPr="007C7990">
              <w:rPr>
                <w:color w:val="000000"/>
                <w:sz w:val="18"/>
                <w:szCs w:val="18"/>
              </w:rPr>
              <w:t>23 / 100</w:t>
            </w:r>
          </w:p>
        </w:tc>
        <w:tc>
          <w:tcPr>
            <w:tcW w:w="1300" w:type="dxa"/>
          </w:tcPr>
          <w:p w14:paraId="6ABBE2D0" w14:textId="77777777" w:rsidR="00A36F80" w:rsidRPr="007C7990" w:rsidRDefault="00000000">
            <w:pPr>
              <w:rPr>
                <w:sz w:val="18"/>
                <w:szCs w:val="18"/>
              </w:rPr>
            </w:pPr>
            <w:r w:rsidRPr="007C7990">
              <w:rPr>
                <w:color w:val="000000"/>
                <w:sz w:val="18"/>
                <w:szCs w:val="18"/>
              </w:rPr>
              <w:t>60.3±8 / 61.9±10</w:t>
            </w:r>
          </w:p>
        </w:tc>
        <w:tc>
          <w:tcPr>
            <w:tcW w:w="1000" w:type="dxa"/>
          </w:tcPr>
          <w:p w14:paraId="44F92BEA" w14:textId="77777777" w:rsidR="00A36F80" w:rsidRPr="007C7990" w:rsidRDefault="00000000">
            <w:pPr>
              <w:rPr>
                <w:sz w:val="18"/>
                <w:szCs w:val="18"/>
              </w:rPr>
            </w:pPr>
            <w:r w:rsidRPr="007C7990">
              <w:rPr>
                <w:color w:val="000000"/>
                <w:sz w:val="18"/>
                <w:szCs w:val="18"/>
              </w:rPr>
              <w:t>73.9 / 73.0</w:t>
            </w:r>
          </w:p>
        </w:tc>
        <w:tc>
          <w:tcPr>
            <w:tcW w:w="1250" w:type="dxa"/>
          </w:tcPr>
          <w:p w14:paraId="26168E7F" w14:textId="77777777" w:rsidR="00A36F80" w:rsidRPr="007C7990" w:rsidRDefault="00000000">
            <w:pPr>
              <w:rPr>
                <w:sz w:val="18"/>
                <w:szCs w:val="18"/>
              </w:rPr>
            </w:pPr>
            <w:r w:rsidRPr="007C7990">
              <w:rPr>
                <w:color w:val="000000"/>
                <w:sz w:val="18"/>
                <w:szCs w:val="18"/>
              </w:rPr>
              <w:t>17.9±8 / 31.3±18</w:t>
            </w:r>
          </w:p>
        </w:tc>
        <w:tc>
          <w:tcPr>
            <w:tcW w:w="1500" w:type="dxa"/>
          </w:tcPr>
          <w:p w14:paraId="4A65537C" w14:textId="77777777" w:rsidR="00A36F80" w:rsidRPr="007C7990" w:rsidRDefault="00000000">
            <w:pPr>
              <w:rPr>
                <w:sz w:val="18"/>
                <w:szCs w:val="18"/>
              </w:rPr>
            </w:pPr>
            <w:r w:rsidRPr="007C7990">
              <w:rPr>
                <w:color w:val="000000"/>
                <w:sz w:val="18"/>
                <w:szCs w:val="18"/>
              </w:rPr>
              <w:t>Per local protocol, 24h infusion</w:t>
            </w:r>
          </w:p>
        </w:tc>
        <w:tc>
          <w:tcPr>
            <w:tcW w:w="1350" w:type="dxa"/>
          </w:tcPr>
          <w:p w14:paraId="2C40A27A" w14:textId="77777777" w:rsidR="00A36F80" w:rsidRPr="007C7990" w:rsidRDefault="00000000">
            <w:pPr>
              <w:rPr>
                <w:sz w:val="18"/>
                <w:szCs w:val="18"/>
              </w:rPr>
            </w:pPr>
            <w:r w:rsidRPr="007C7990">
              <w:rPr>
                <w:color w:val="000000"/>
                <w:sz w:val="18"/>
                <w:szCs w:val="18"/>
              </w:rPr>
              <w:t>Peri-weaning</w:t>
            </w:r>
          </w:p>
        </w:tc>
        <w:tc>
          <w:tcPr>
            <w:tcW w:w="1700" w:type="dxa"/>
          </w:tcPr>
          <w:p w14:paraId="46A5E169" w14:textId="77777777" w:rsidR="00A36F80" w:rsidRPr="007C7990" w:rsidRDefault="00000000">
            <w:pPr>
              <w:rPr>
                <w:sz w:val="18"/>
                <w:szCs w:val="18"/>
              </w:rPr>
            </w:pPr>
            <w:r w:rsidRPr="007C7990">
              <w:rPr>
                <w:color w:val="000000"/>
                <w:sz w:val="18"/>
                <w:szCs w:val="18"/>
              </w:rPr>
              <w:t>Mixed CS; persistent LV dysfunction</w:t>
            </w:r>
          </w:p>
        </w:tc>
      </w:tr>
      <w:tr w:rsidR="00A36F80" w14:paraId="22CB20DD" w14:textId="77777777">
        <w:tc>
          <w:tcPr>
            <w:tcW w:w="1500" w:type="dxa"/>
          </w:tcPr>
          <w:p w14:paraId="00B7231A" w14:textId="77777777" w:rsidR="00A36F80" w:rsidRPr="007C7990" w:rsidRDefault="00000000">
            <w:pPr>
              <w:rPr>
                <w:sz w:val="18"/>
                <w:szCs w:val="18"/>
              </w:rPr>
            </w:pPr>
            <w:r w:rsidRPr="007C7990">
              <w:rPr>
                <w:color w:val="000000"/>
                <w:sz w:val="18"/>
                <w:szCs w:val="18"/>
              </w:rPr>
              <w:t>Chen 2025</w:t>
            </w:r>
          </w:p>
        </w:tc>
        <w:tc>
          <w:tcPr>
            <w:tcW w:w="1150" w:type="dxa"/>
          </w:tcPr>
          <w:p w14:paraId="0CCA5804" w14:textId="77777777" w:rsidR="00A36F80" w:rsidRPr="007C7990" w:rsidRDefault="00000000">
            <w:pPr>
              <w:rPr>
                <w:sz w:val="18"/>
                <w:szCs w:val="18"/>
              </w:rPr>
            </w:pPr>
            <w:r w:rsidRPr="007C7990">
              <w:rPr>
                <w:color w:val="000000"/>
                <w:sz w:val="18"/>
                <w:szCs w:val="18"/>
              </w:rPr>
              <w:t>Taiwan</w:t>
            </w:r>
          </w:p>
        </w:tc>
        <w:tc>
          <w:tcPr>
            <w:tcW w:w="1500" w:type="dxa"/>
          </w:tcPr>
          <w:p w14:paraId="499F5471" w14:textId="77777777" w:rsidR="00A36F80" w:rsidRPr="007C7990" w:rsidRDefault="00000000">
            <w:pPr>
              <w:rPr>
                <w:sz w:val="18"/>
                <w:szCs w:val="18"/>
              </w:rPr>
            </w:pPr>
            <w:r w:rsidRPr="007C7990">
              <w:rPr>
                <w:color w:val="000000"/>
                <w:sz w:val="18"/>
                <w:szCs w:val="18"/>
              </w:rPr>
              <w:t>Retrospective cohort</w:t>
            </w:r>
          </w:p>
        </w:tc>
        <w:tc>
          <w:tcPr>
            <w:tcW w:w="900" w:type="dxa"/>
          </w:tcPr>
          <w:p w14:paraId="007740DE" w14:textId="77777777" w:rsidR="00A36F80" w:rsidRPr="007C7990" w:rsidRDefault="00000000">
            <w:pPr>
              <w:rPr>
                <w:sz w:val="18"/>
                <w:szCs w:val="18"/>
              </w:rPr>
            </w:pPr>
            <w:r w:rsidRPr="007C7990">
              <w:rPr>
                <w:color w:val="000000"/>
                <w:sz w:val="18"/>
                <w:szCs w:val="18"/>
              </w:rPr>
              <w:t>23 / 135</w:t>
            </w:r>
          </w:p>
        </w:tc>
        <w:tc>
          <w:tcPr>
            <w:tcW w:w="1300" w:type="dxa"/>
          </w:tcPr>
          <w:p w14:paraId="7A003D4B" w14:textId="77777777" w:rsidR="00A36F80" w:rsidRPr="007C7990" w:rsidRDefault="00000000">
            <w:pPr>
              <w:rPr>
                <w:sz w:val="18"/>
                <w:szCs w:val="18"/>
              </w:rPr>
            </w:pPr>
            <w:r w:rsidRPr="007C7990">
              <w:rPr>
                <w:color w:val="000000"/>
                <w:sz w:val="18"/>
                <w:szCs w:val="18"/>
              </w:rPr>
              <w:t>54.1±12.9 / 54.3±14.1</w:t>
            </w:r>
          </w:p>
        </w:tc>
        <w:tc>
          <w:tcPr>
            <w:tcW w:w="1000" w:type="dxa"/>
          </w:tcPr>
          <w:p w14:paraId="763C4C5F" w14:textId="77777777" w:rsidR="00A36F80" w:rsidRPr="007C7990" w:rsidRDefault="00000000">
            <w:pPr>
              <w:rPr>
                <w:sz w:val="18"/>
                <w:szCs w:val="18"/>
              </w:rPr>
            </w:pPr>
            <w:r w:rsidRPr="007C7990">
              <w:rPr>
                <w:color w:val="000000"/>
                <w:sz w:val="18"/>
                <w:szCs w:val="18"/>
              </w:rPr>
              <w:t>91.3 / 86.7</w:t>
            </w:r>
          </w:p>
        </w:tc>
        <w:tc>
          <w:tcPr>
            <w:tcW w:w="1250" w:type="dxa"/>
          </w:tcPr>
          <w:p w14:paraId="024AD413" w14:textId="77777777" w:rsidR="00A36F80" w:rsidRPr="007C7990" w:rsidRDefault="00000000">
            <w:pPr>
              <w:rPr>
                <w:sz w:val="18"/>
                <w:szCs w:val="18"/>
              </w:rPr>
            </w:pPr>
            <w:r w:rsidRPr="007C7990">
              <w:rPr>
                <w:color w:val="000000"/>
                <w:sz w:val="18"/>
                <w:szCs w:val="18"/>
              </w:rPr>
              <w:t>31.2±12.2 / 31.0±15.4</w:t>
            </w:r>
          </w:p>
        </w:tc>
        <w:tc>
          <w:tcPr>
            <w:tcW w:w="1500" w:type="dxa"/>
          </w:tcPr>
          <w:p w14:paraId="0BB67E40" w14:textId="77777777" w:rsidR="00A36F80" w:rsidRPr="007C7990" w:rsidRDefault="00000000">
            <w:pPr>
              <w:rPr>
                <w:sz w:val="18"/>
                <w:szCs w:val="18"/>
              </w:rPr>
            </w:pPr>
            <w:r w:rsidRPr="007C7990">
              <w:rPr>
                <w:color w:val="000000"/>
                <w:sz w:val="18"/>
                <w:szCs w:val="18"/>
              </w:rPr>
              <w:t>0.1 µg/kg/min ×24h</w:t>
            </w:r>
          </w:p>
        </w:tc>
        <w:tc>
          <w:tcPr>
            <w:tcW w:w="1350" w:type="dxa"/>
          </w:tcPr>
          <w:p w14:paraId="73160A35" w14:textId="77777777" w:rsidR="00A36F80" w:rsidRPr="007C7990" w:rsidRDefault="00000000">
            <w:pPr>
              <w:rPr>
                <w:sz w:val="18"/>
                <w:szCs w:val="18"/>
              </w:rPr>
            </w:pPr>
            <w:r w:rsidRPr="007C7990">
              <w:rPr>
                <w:color w:val="000000"/>
                <w:sz w:val="18"/>
                <w:szCs w:val="18"/>
              </w:rPr>
              <w:t>Early (&lt;72h of ECPR)</w:t>
            </w:r>
          </w:p>
        </w:tc>
        <w:tc>
          <w:tcPr>
            <w:tcW w:w="1700" w:type="dxa"/>
          </w:tcPr>
          <w:p w14:paraId="2F92837D" w14:textId="77777777" w:rsidR="00A36F80" w:rsidRPr="007C7990" w:rsidRDefault="00000000">
            <w:pPr>
              <w:rPr>
                <w:sz w:val="18"/>
                <w:szCs w:val="18"/>
              </w:rPr>
            </w:pPr>
            <w:r w:rsidRPr="007C7990">
              <w:rPr>
                <w:color w:val="000000"/>
                <w:sz w:val="18"/>
                <w:szCs w:val="18"/>
              </w:rPr>
              <w:t>ECPR / cardiac arrest</w:t>
            </w:r>
          </w:p>
        </w:tc>
      </w:tr>
      <w:tr w:rsidR="00A36F80" w14:paraId="1A1B3631" w14:textId="77777777">
        <w:tc>
          <w:tcPr>
            <w:tcW w:w="1500" w:type="dxa"/>
          </w:tcPr>
          <w:p w14:paraId="65B87894" w14:textId="77777777" w:rsidR="00A36F80" w:rsidRPr="007C7990" w:rsidRDefault="00000000">
            <w:pPr>
              <w:rPr>
                <w:sz w:val="18"/>
                <w:szCs w:val="18"/>
              </w:rPr>
            </w:pPr>
            <w:r w:rsidRPr="007C7990">
              <w:rPr>
                <w:color w:val="000000"/>
                <w:sz w:val="18"/>
                <w:szCs w:val="18"/>
              </w:rPr>
              <w:t>Chen YW 2022</w:t>
            </w:r>
          </w:p>
        </w:tc>
        <w:tc>
          <w:tcPr>
            <w:tcW w:w="1150" w:type="dxa"/>
          </w:tcPr>
          <w:p w14:paraId="70F6ABBE" w14:textId="77777777" w:rsidR="00A36F80" w:rsidRPr="007C7990" w:rsidRDefault="00000000">
            <w:pPr>
              <w:rPr>
                <w:sz w:val="18"/>
                <w:szCs w:val="18"/>
              </w:rPr>
            </w:pPr>
            <w:r w:rsidRPr="007C7990">
              <w:rPr>
                <w:color w:val="000000"/>
                <w:sz w:val="18"/>
                <w:szCs w:val="18"/>
              </w:rPr>
              <w:t>Taiwan</w:t>
            </w:r>
          </w:p>
        </w:tc>
        <w:tc>
          <w:tcPr>
            <w:tcW w:w="1500" w:type="dxa"/>
          </w:tcPr>
          <w:p w14:paraId="42277A08" w14:textId="77777777" w:rsidR="00A36F80" w:rsidRPr="007C7990" w:rsidRDefault="00000000">
            <w:pPr>
              <w:rPr>
                <w:sz w:val="18"/>
                <w:szCs w:val="18"/>
              </w:rPr>
            </w:pPr>
            <w:r w:rsidRPr="007C7990">
              <w:rPr>
                <w:color w:val="000000"/>
                <w:sz w:val="18"/>
                <w:szCs w:val="18"/>
              </w:rPr>
              <w:t>Retrospective cohort</w:t>
            </w:r>
          </w:p>
        </w:tc>
        <w:tc>
          <w:tcPr>
            <w:tcW w:w="900" w:type="dxa"/>
          </w:tcPr>
          <w:p w14:paraId="7F814EDB" w14:textId="77777777" w:rsidR="00A36F80" w:rsidRPr="007C7990" w:rsidRDefault="00000000">
            <w:pPr>
              <w:rPr>
                <w:sz w:val="18"/>
                <w:szCs w:val="18"/>
              </w:rPr>
            </w:pPr>
            <w:r w:rsidRPr="007C7990">
              <w:rPr>
                <w:color w:val="000000"/>
                <w:sz w:val="18"/>
                <w:szCs w:val="18"/>
              </w:rPr>
              <w:t>46 / 113</w:t>
            </w:r>
          </w:p>
        </w:tc>
        <w:tc>
          <w:tcPr>
            <w:tcW w:w="1300" w:type="dxa"/>
          </w:tcPr>
          <w:p w14:paraId="1EBB327A" w14:textId="77777777" w:rsidR="00A36F80" w:rsidRPr="007C7990" w:rsidRDefault="00000000">
            <w:pPr>
              <w:rPr>
                <w:sz w:val="18"/>
                <w:szCs w:val="18"/>
              </w:rPr>
            </w:pPr>
            <w:r w:rsidRPr="007C7990">
              <w:rPr>
                <w:color w:val="000000"/>
                <w:sz w:val="18"/>
                <w:szCs w:val="18"/>
              </w:rPr>
              <w:t>58±16.5 / 59±11.4</w:t>
            </w:r>
          </w:p>
        </w:tc>
        <w:tc>
          <w:tcPr>
            <w:tcW w:w="1000" w:type="dxa"/>
          </w:tcPr>
          <w:p w14:paraId="0E8C432C" w14:textId="77777777" w:rsidR="00A36F80" w:rsidRPr="007C7990" w:rsidRDefault="00000000">
            <w:pPr>
              <w:rPr>
                <w:sz w:val="18"/>
                <w:szCs w:val="18"/>
              </w:rPr>
            </w:pPr>
            <w:r w:rsidRPr="007C7990">
              <w:rPr>
                <w:color w:val="000000"/>
                <w:sz w:val="18"/>
                <w:szCs w:val="18"/>
              </w:rPr>
              <w:t>80.4 / 67.3</w:t>
            </w:r>
          </w:p>
        </w:tc>
        <w:tc>
          <w:tcPr>
            <w:tcW w:w="1250" w:type="dxa"/>
          </w:tcPr>
          <w:p w14:paraId="35F9A216" w14:textId="77777777" w:rsidR="00A36F80" w:rsidRPr="007C7990" w:rsidRDefault="00000000">
            <w:pPr>
              <w:rPr>
                <w:sz w:val="18"/>
                <w:szCs w:val="18"/>
              </w:rPr>
            </w:pPr>
            <w:r w:rsidRPr="007C7990">
              <w:rPr>
                <w:color w:val="000000"/>
                <w:sz w:val="18"/>
                <w:szCs w:val="18"/>
              </w:rPr>
              <w:t>30.1±12.2 / 35.2±17.2</w:t>
            </w:r>
          </w:p>
        </w:tc>
        <w:tc>
          <w:tcPr>
            <w:tcW w:w="1500" w:type="dxa"/>
          </w:tcPr>
          <w:p w14:paraId="44CBFB30" w14:textId="77777777" w:rsidR="00A36F80" w:rsidRPr="007C7990" w:rsidRDefault="00000000">
            <w:pPr>
              <w:rPr>
                <w:sz w:val="18"/>
                <w:szCs w:val="18"/>
              </w:rPr>
            </w:pPr>
            <w:r w:rsidRPr="007C7990">
              <w:rPr>
                <w:color w:val="000000"/>
                <w:sz w:val="18"/>
                <w:szCs w:val="18"/>
              </w:rPr>
              <w:t>0.05–0.2 µg/kg/min ×24h</w:t>
            </w:r>
          </w:p>
        </w:tc>
        <w:tc>
          <w:tcPr>
            <w:tcW w:w="1350" w:type="dxa"/>
          </w:tcPr>
          <w:p w14:paraId="60702811" w14:textId="77777777" w:rsidR="00A36F80" w:rsidRPr="007C7990" w:rsidRDefault="00000000">
            <w:pPr>
              <w:rPr>
                <w:sz w:val="18"/>
                <w:szCs w:val="18"/>
              </w:rPr>
            </w:pPr>
            <w:r w:rsidRPr="007C7990">
              <w:rPr>
                <w:color w:val="000000"/>
                <w:sz w:val="18"/>
                <w:szCs w:val="18"/>
              </w:rPr>
              <w:t>Early (&lt;24h; median 8h)</w:t>
            </w:r>
          </w:p>
        </w:tc>
        <w:tc>
          <w:tcPr>
            <w:tcW w:w="1700" w:type="dxa"/>
          </w:tcPr>
          <w:p w14:paraId="49BE06E4" w14:textId="77777777" w:rsidR="00A36F80" w:rsidRPr="007C7990" w:rsidRDefault="00000000">
            <w:pPr>
              <w:rPr>
                <w:sz w:val="18"/>
                <w:szCs w:val="18"/>
              </w:rPr>
            </w:pPr>
            <w:r w:rsidRPr="007C7990">
              <w:rPr>
                <w:color w:val="000000"/>
                <w:sz w:val="18"/>
                <w:szCs w:val="18"/>
              </w:rPr>
              <w:t>MI, cardiac arrest</w:t>
            </w:r>
          </w:p>
        </w:tc>
      </w:tr>
      <w:tr w:rsidR="00A36F80" w14:paraId="5ED39EA2" w14:textId="77777777">
        <w:tc>
          <w:tcPr>
            <w:tcW w:w="1500" w:type="dxa"/>
          </w:tcPr>
          <w:p w14:paraId="20FAB5B8" w14:textId="77777777" w:rsidR="00A36F80" w:rsidRPr="007C7990" w:rsidRDefault="00000000">
            <w:pPr>
              <w:rPr>
                <w:sz w:val="18"/>
                <w:szCs w:val="18"/>
              </w:rPr>
            </w:pPr>
            <w:r w:rsidRPr="007C7990">
              <w:rPr>
                <w:color w:val="000000"/>
                <w:sz w:val="18"/>
                <w:szCs w:val="18"/>
              </w:rPr>
              <w:t>Combes 2025 (LEVOECMO)</w:t>
            </w:r>
          </w:p>
        </w:tc>
        <w:tc>
          <w:tcPr>
            <w:tcW w:w="1150" w:type="dxa"/>
          </w:tcPr>
          <w:p w14:paraId="4D1A04FF" w14:textId="77777777" w:rsidR="00A36F80" w:rsidRPr="007C7990" w:rsidRDefault="00000000">
            <w:pPr>
              <w:rPr>
                <w:sz w:val="18"/>
                <w:szCs w:val="18"/>
              </w:rPr>
            </w:pPr>
            <w:r w:rsidRPr="007C7990">
              <w:rPr>
                <w:color w:val="000000"/>
                <w:sz w:val="18"/>
                <w:szCs w:val="18"/>
              </w:rPr>
              <w:t>France (11 centres)</w:t>
            </w:r>
          </w:p>
        </w:tc>
        <w:tc>
          <w:tcPr>
            <w:tcW w:w="1500" w:type="dxa"/>
          </w:tcPr>
          <w:p w14:paraId="7A3E8A77" w14:textId="77777777" w:rsidR="00A36F80" w:rsidRPr="007C7990" w:rsidRDefault="00000000">
            <w:pPr>
              <w:rPr>
                <w:sz w:val="18"/>
                <w:szCs w:val="18"/>
              </w:rPr>
            </w:pPr>
            <w:r w:rsidRPr="007C7990">
              <w:rPr>
                <w:color w:val="000000"/>
                <w:sz w:val="18"/>
                <w:szCs w:val="18"/>
              </w:rPr>
              <w:t>RCT</w:t>
            </w:r>
          </w:p>
        </w:tc>
        <w:tc>
          <w:tcPr>
            <w:tcW w:w="900" w:type="dxa"/>
          </w:tcPr>
          <w:p w14:paraId="4C5303A5" w14:textId="77777777" w:rsidR="00A36F80" w:rsidRPr="007C7990" w:rsidRDefault="00000000">
            <w:pPr>
              <w:rPr>
                <w:sz w:val="18"/>
                <w:szCs w:val="18"/>
              </w:rPr>
            </w:pPr>
            <w:r w:rsidRPr="007C7990">
              <w:rPr>
                <w:color w:val="000000"/>
                <w:sz w:val="18"/>
                <w:szCs w:val="18"/>
              </w:rPr>
              <w:t>101 / 104</w:t>
            </w:r>
          </w:p>
        </w:tc>
        <w:tc>
          <w:tcPr>
            <w:tcW w:w="1300" w:type="dxa"/>
          </w:tcPr>
          <w:p w14:paraId="27BFBA11" w14:textId="77777777" w:rsidR="00A36F80" w:rsidRPr="007C7990" w:rsidRDefault="00000000">
            <w:pPr>
              <w:rPr>
                <w:sz w:val="18"/>
                <w:szCs w:val="18"/>
              </w:rPr>
            </w:pPr>
            <w:r w:rsidRPr="007C7990">
              <w:rPr>
                <w:color w:val="000000"/>
                <w:sz w:val="18"/>
                <w:szCs w:val="18"/>
              </w:rPr>
              <w:t>59±13.5 / 57.7±14.3</w:t>
            </w:r>
          </w:p>
        </w:tc>
        <w:tc>
          <w:tcPr>
            <w:tcW w:w="1000" w:type="dxa"/>
          </w:tcPr>
          <w:p w14:paraId="0151F1F3" w14:textId="77777777" w:rsidR="00A36F80" w:rsidRPr="007C7990" w:rsidRDefault="00000000">
            <w:pPr>
              <w:rPr>
                <w:sz w:val="18"/>
                <w:szCs w:val="18"/>
              </w:rPr>
            </w:pPr>
            <w:r w:rsidRPr="007C7990">
              <w:rPr>
                <w:color w:val="000000"/>
                <w:sz w:val="18"/>
                <w:szCs w:val="18"/>
              </w:rPr>
              <w:t>74.3 / 71.2</w:t>
            </w:r>
          </w:p>
        </w:tc>
        <w:tc>
          <w:tcPr>
            <w:tcW w:w="1250" w:type="dxa"/>
          </w:tcPr>
          <w:p w14:paraId="3FBBAD9A" w14:textId="77777777" w:rsidR="00A36F80" w:rsidRPr="007C7990" w:rsidRDefault="00000000">
            <w:pPr>
              <w:rPr>
                <w:sz w:val="18"/>
                <w:szCs w:val="18"/>
              </w:rPr>
            </w:pPr>
            <w:r w:rsidRPr="007C7990">
              <w:rPr>
                <w:color w:val="000000"/>
                <w:sz w:val="18"/>
                <w:szCs w:val="18"/>
              </w:rPr>
              <w:t>16.7±11.3 / 16.7±11.3</w:t>
            </w:r>
          </w:p>
        </w:tc>
        <w:tc>
          <w:tcPr>
            <w:tcW w:w="1500" w:type="dxa"/>
          </w:tcPr>
          <w:p w14:paraId="1DFFBAE0" w14:textId="77777777" w:rsidR="00A36F80" w:rsidRPr="007C7990" w:rsidRDefault="00000000">
            <w:pPr>
              <w:rPr>
                <w:sz w:val="18"/>
                <w:szCs w:val="18"/>
              </w:rPr>
            </w:pPr>
            <w:r w:rsidRPr="007C7990">
              <w:rPr>
                <w:color w:val="000000"/>
                <w:sz w:val="18"/>
                <w:szCs w:val="18"/>
              </w:rPr>
              <w:t>0.2 µg/kg/min ×24h, no bolus</w:t>
            </w:r>
          </w:p>
        </w:tc>
        <w:tc>
          <w:tcPr>
            <w:tcW w:w="1350" w:type="dxa"/>
          </w:tcPr>
          <w:p w14:paraId="76B0DEB7" w14:textId="77777777" w:rsidR="00A36F80" w:rsidRPr="007C7990" w:rsidRDefault="00000000">
            <w:pPr>
              <w:rPr>
                <w:sz w:val="18"/>
                <w:szCs w:val="18"/>
              </w:rPr>
            </w:pPr>
            <w:r w:rsidRPr="007C7990">
              <w:rPr>
                <w:color w:val="000000"/>
                <w:sz w:val="18"/>
                <w:szCs w:val="18"/>
              </w:rPr>
              <w:t>Early (&lt;48h)</w:t>
            </w:r>
          </w:p>
        </w:tc>
        <w:tc>
          <w:tcPr>
            <w:tcW w:w="1700" w:type="dxa"/>
          </w:tcPr>
          <w:p w14:paraId="7A5D0D49" w14:textId="77777777" w:rsidR="00A36F80" w:rsidRPr="007C7990" w:rsidRDefault="00000000">
            <w:pPr>
              <w:rPr>
                <w:sz w:val="18"/>
                <w:szCs w:val="18"/>
              </w:rPr>
            </w:pPr>
            <w:r w:rsidRPr="007C7990">
              <w:rPr>
                <w:color w:val="000000"/>
                <w:sz w:val="18"/>
                <w:szCs w:val="18"/>
              </w:rPr>
              <w:t>Postcardiotomy, AMI, myocarditis</w:t>
            </w:r>
          </w:p>
        </w:tc>
      </w:tr>
      <w:tr w:rsidR="00A36F80" w14:paraId="0F86A7BD" w14:textId="77777777">
        <w:tc>
          <w:tcPr>
            <w:tcW w:w="1500" w:type="dxa"/>
          </w:tcPr>
          <w:p w14:paraId="77798317" w14:textId="77777777" w:rsidR="00A36F80" w:rsidRPr="007C7990" w:rsidRDefault="00000000">
            <w:pPr>
              <w:rPr>
                <w:sz w:val="18"/>
                <w:szCs w:val="18"/>
              </w:rPr>
            </w:pPr>
            <w:r w:rsidRPr="007C7990">
              <w:rPr>
                <w:color w:val="000000"/>
                <w:sz w:val="18"/>
                <w:szCs w:val="18"/>
              </w:rPr>
              <w:t>Distelmaier 2016</w:t>
            </w:r>
          </w:p>
        </w:tc>
        <w:tc>
          <w:tcPr>
            <w:tcW w:w="1150" w:type="dxa"/>
          </w:tcPr>
          <w:p w14:paraId="0BA70C2F" w14:textId="77777777" w:rsidR="00A36F80" w:rsidRPr="007C7990" w:rsidRDefault="00000000">
            <w:pPr>
              <w:rPr>
                <w:sz w:val="18"/>
                <w:szCs w:val="18"/>
              </w:rPr>
            </w:pPr>
            <w:r w:rsidRPr="007C7990">
              <w:rPr>
                <w:color w:val="000000"/>
                <w:sz w:val="18"/>
                <w:szCs w:val="18"/>
              </w:rPr>
              <w:t>Austria</w:t>
            </w:r>
          </w:p>
        </w:tc>
        <w:tc>
          <w:tcPr>
            <w:tcW w:w="1500" w:type="dxa"/>
          </w:tcPr>
          <w:p w14:paraId="228B203F" w14:textId="77777777" w:rsidR="00A36F80" w:rsidRPr="007C7990" w:rsidRDefault="00000000">
            <w:pPr>
              <w:rPr>
                <w:sz w:val="18"/>
                <w:szCs w:val="18"/>
              </w:rPr>
            </w:pPr>
            <w:r w:rsidRPr="007C7990">
              <w:rPr>
                <w:color w:val="000000"/>
                <w:sz w:val="18"/>
                <w:szCs w:val="18"/>
              </w:rPr>
              <w:t>Retrospective cohort</w:t>
            </w:r>
          </w:p>
        </w:tc>
        <w:tc>
          <w:tcPr>
            <w:tcW w:w="900" w:type="dxa"/>
          </w:tcPr>
          <w:p w14:paraId="4E60DB11" w14:textId="77777777" w:rsidR="00A36F80" w:rsidRPr="007C7990" w:rsidRDefault="00000000">
            <w:pPr>
              <w:rPr>
                <w:sz w:val="18"/>
                <w:szCs w:val="18"/>
              </w:rPr>
            </w:pPr>
            <w:r w:rsidRPr="007C7990">
              <w:rPr>
                <w:color w:val="000000"/>
                <w:sz w:val="18"/>
                <w:szCs w:val="18"/>
              </w:rPr>
              <w:t>179 / 61</w:t>
            </w:r>
          </w:p>
        </w:tc>
        <w:tc>
          <w:tcPr>
            <w:tcW w:w="1300" w:type="dxa"/>
          </w:tcPr>
          <w:p w14:paraId="74C0EE45" w14:textId="77777777" w:rsidR="00A36F80" w:rsidRPr="007C7990" w:rsidRDefault="00000000">
            <w:pPr>
              <w:rPr>
                <w:sz w:val="18"/>
                <w:szCs w:val="18"/>
              </w:rPr>
            </w:pPr>
            <w:r w:rsidRPr="007C7990">
              <w:rPr>
                <w:color w:val="000000"/>
                <w:sz w:val="18"/>
                <w:szCs w:val="18"/>
              </w:rPr>
              <w:t>65 (56–72) / 65 (52–70)</w:t>
            </w:r>
          </w:p>
        </w:tc>
        <w:tc>
          <w:tcPr>
            <w:tcW w:w="1000" w:type="dxa"/>
          </w:tcPr>
          <w:p w14:paraId="2881B7C4" w14:textId="77777777" w:rsidR="00A36F80" w:rsidRPr="007C7990" w:rsidRDefault="00000000">
            <w:pPr>
              <w:rPr>
                <w:sz w:val="18"/>
                <w:szCs w:val="18"/>
              </w:rPr>
            </w:pPr>
            <w:r w:rsidRPr="007C7990">
              <w:rPr>
                <w:color w:val="000000"/>
                <w:sz w:val="18"/>
                <w:szCs w:val="18"/>
              </w:rPr>
              <w:t>74 / 63</w:t>
            </w:r>
          </w:p>
        </w:tc>
        <w:tc>
          <w:tcPr>
            <w:tcW w:w="1250" w:type="dxa"/>
          </w:tcPr>
          <w:p w14:paraId="1373A6DC" w14:textId="77777777" w:rsidR="00A36F80" w:rsidRPr="007C7990" w:rsidRDefault="00000000">
            <w:pPr>
              <w:rPr>
                <w:sz w:val="18"/>
                <w:szCs w:val="18"/>
              </w:rPr>
            </w:pPr>
            <w:r w:rsidRPr="007C7990">
              <w:rPr>
                <w:color w:val="000000"/>
                <w:sz w:val="18"/>
                <w:szCs w:val="18"/>
              </w:rPr>
              <w:t>NR (categorical only)</w:t>
            </w:r>
          </w:p>
        </w:tc>
        <w:tc>
          <w:tcPr>
            <w:tcW w:w="1500" w:type="dxa"/>
          </w:tcPr>
          <w:p w14:paraId="56D4F26E" w14:textId="77777777" w:rsidR="00A36F80" w:rsidRPr="007C7990" w:rsidRDefault="00000000">
            <w:pPr>
              <w:rPr>
                <w:sz w:val="18"/>
                <w:szCs w:val="18"/>
              </w:rPr>
            </w:pPr>
            <w:r w:rsidRPr="007C7990">
              <w:rPr>
                <w:color w:val="000000"/>
                <w:sz w:val="18"/>
                <w:szCs w:val="18"/>
              </w:rPr>
              <w:t>12.5 mg over 24h, no bolus</w:t>
            </w:r>
          </w:p>
        </w:tc>
        <w:tc>
          <w:tcPr>
            <w:tcW w:w="1350" w:type="dxa"/>
          </w:tcPr>
          <w:p w14:paraId="42653BC1" w14:textId="77777777" w:rsidR="00A36F80" w:rsidRPr="007C7990" w:rsidRDefault="00000000">
            <w:pPr>
              <w:rPr>
                <w:sz w:val="18"/>
                <w:szCs w:val="18"/>
              </w:rPr>
            </w:pPr>
            <w:r w:rsidRPr="007C7990">
              <w:rPr>
                <w:color w:val="000000"/>
                <w:sz w:val="18"/>
                <w:szCs w:val="18"/>
              </w:rPr>
              <w:t>Early (&lt;24h post-ECMO)</w:t>
            </w:r>
          </w:p>
        </w:tc>
        <w:tc>
          <w:tcPr>
            <w:tcW w:w="1700" w:type="dxa"/>
          </w:tcPr>
          <w:p w14:paraId="40B23421" w14:textId="77777777" w:rsidR="00A36F80" w:rsidRPr="007C7990" w:rsidRDefault="00000000">
            <w:pPr>
              <w:rPr>
                <w:sz w:val="18"/>
                <w:szCs w:val="18"/>
              </w:rPr>
            </w:pPr>
            <w:r w:rsidRPr="007C7990">
              <w:rPr>
                <w:color w:val="000000"/>
                <w:sz w:val="18"/>
                <w:szCs w:val="18"/>
              </w:rPr>
              <w:t>Post-cardiac surgery (weaning failure)</w:t>
            </w:r>
          </w:p>
        </w:tc>
      </w:tr>
      <w:tr w:rsidR="00A36F80" w14:paraId="78AA181C" w14:textId="77777777">
        <w:tc>
          <w:tcPr>
            <w:tcW w:w="1500" w:type="dxa"/>
          </w:tcPr>
          <w:p w14:paraId="3BDDB7A8" w14:textId="77777777" w:rsidR="00A36F80" w:rsidRPr="007C7990" w:rsidRDefault="00000000">
            <w:pPr>
              <w:rPr>
                <w:sz w:val="18"/>
                <w:szCs w:val="18"/>
              </w:rPr>
            </w:pPr>
            <w:r w:rsidRPr="007C7990">
              <w:rPr>
                <w:color w:val="000000"/>
                <w:sz w:val="18"/>
                <w:szCs w:val="18"/>
              </w:rPr>
              <w:t>Gaisendrees 2023</w:t>
            </w:r>
          </w:p>
        </w:tc>
        <w:tc>
          <w:tcPr>
            <w:tcW w:w="1150" w:type="dxa"/>
          </w:tcPr>
          <w:p w14:paraId="43DB7223" w14:textId="77777777" w:rsidR="00A36F80" w:rsidRPr="007C7990" w:rsidRDefault="00000000">
            <w:pPr>
              <w:rPr>
                <w:sz w:val="18"/>
                <w:szCs w:val="18"/>
              </w:rPr>
            </w:pPr>
            <w:r w:rsidRPr="007C7990">
              <w:rPr>
                <w:color w:val="000000"/>
                <w:sz w:val="18"/>
                <w:szCs w:val="18"/>
              </w:rPr>
              <w:t>Germany</w:t>
            </w:r>
          </w:p>
        </w:tc>
        <w:tc>
          <w:tcPr>
            <w:tcW w:w="1500" w:type="dxa"/>
          </w:tcPr>
          <w:p w14:paraId="54B674D7" w14:textId="77777777" w:rsidR="00A36F80" w:rsidRPr="007C7990" w:rsidRDefault="00000000">
            <w:pPr>
              <w:rPr>
                <w:sz w:val="18"/>
                <w:szCs w:val="18"/>
              </w:rPr>
            </w:pPr>
            <w:r w:rsidRPr="007C7990">
              <w:rPr>
                <w:color w:val="000000"/>
                <w:sz w:val="18"/>
                <w:szCs w:val="18"/>
              </w:rPr>
              <w:t>Retrospective cohort + PSM</w:t>
            </w:r>
          </w:p>
        </w:tc>
        <w:tc>
          <w:tcPr>
            <w:tcW w:w="900" w:type="dxa"/>
          </w:tcPr>
          <w:p w14:paraId="76AD4AEC" w14:textId="77777777" w:rsidR="00A36F80" w:rsidRPr="007C7990" w:rsidRDefault="00000000">
            <w:pPr>
              <w:rPr>
                <w:sz w:val="18"/>
                <w:szCs w:val="18"/>
              </w:rPr>
            </w:pPr>
            <w:r w:rsidRPr="007C7990">
              <w:rPr>
                <w:color w:val="000000"/>
                <w:sz w:val="18"/>
                <w:szCs w:val="18"/>
              </w:rPr>
              <w:t>23 / 80</w:t>
            </w:r>
          </w:p>
        </w:tc>
        <w:tc>
          <w:tcPr>
            <w:tcW w:w="1300" w:type="dxa"/>
          </w:tcPr>
          <w:p w14:paraId="7120325F" w14:textId="77777777" w:rsidR="00A36F80" w:rsidRPr="007C7990" w:rsidRDefault="00000000">
            <w:pPr>
              <w:rPr>
                <w:sz w:val="18"/>
                <w:szCs w:val="18"/>
              </w:rPr>
            </w:pPr>
            <w:r w:rsidRPr="007C7990">
              <w:rPr>
                <w:color w:val="000000"/>
                <w:sz w:val="18"/>
                <w:szCs w:val="18"/>
              </w:rPr>
              <w:t>54.3±13.0 / 55.4±12.9</w:t>
            </w:r>
          </w:p>
        </w:tc>
        <w:tc>
          <w:tcPr>
            <w:tcW w:w="1000" w:type="dxa"/>
          </w:tcPr>
          <w:p w14:paraId="7B39636A" w14:textId="77777777" w:rsidR="00A36F80" w:rsidRPr="007C7990" w:rsidRDefault="00000000">
            <w:pPr>
              <w:rPr>
                <w:sz w:val="18"/>
                <w:szCs w:val="18"/>
              </w:rPr>
            </w:pPr>
            <w:r w:rsidRPr="007C7990">
              <w:rPr>
                <w:color w:val="000000"/>
                <w:sz w:val="18"/>
                <w:szCs w:val="18"/>
              </w:rPr>
              <w:t>91.3 / 80.0</w:t>
            </w:r>
          </w:p>
        </w:tc>
        <w:tc>
          <w:tcPr>
            <w:tcW w:w="1250" w:type="dxa"/>
          </w:tcPr>
          <w:p w14:paraId="63A7D1EA" w14:textId="77777777" w:rsidR="00A36F80" w:rsidRPr="007C7990" w:rsidRDefault="00000000">
            <w:pPr>
              <w:rPr>
                <w:sz w:val="18"/>
                <w:szCs w:val="18"/>
              </w:rPr>
            </w:pPr>
            <w:r w:rsidRPr="007C7990">
              <w:rPr>
                <w:color w:val="000000"/>
                <w:sz w:val="18"/>
                <w:szCs w:val="18"/>
              </w:rPr>
              <w:t>NR</w:t>
            </w:r>
          </w:p>
        </w:tc>
        <w:tc>
          <w:tcPr>
            <w:tcW w:w="1500" w:type="dxa"/>
          </w:tcPr>
          <w:p w14:paraId="382CFA51" w14:textId="77777777" w:rsidR="00A36F80" w:rsidRPr="007C7990" w:rsidRDefault="00000000">
            <w:pPr>
              <w:rPr>
                <w:sz w:val="18"/>
                <w:szCs w:val="18"/>
              </w:rPr>
            </w:pPr>
            <w:r w:rsidRPr="007C7990">
              <w:rPr>
                <w:color w:val="000000"/>
                <w:sz w:val="18"/>
                <w:szCs w:val="18"/>
              </w:rPr>
              <w:t>0.2 µg/kg/min ×24h, no bolus</w:t>
            </w:r>
          </w:p>
        </w:tc>
        <w:tc>
          <w:tcPr>
            <w:tcW w:w="1350" w:type="dxa"/>
          </w:tcPr>
          <w:p w14:paraId="308BB604" w14:textId="77777777" w:rsidR="00A36F80" w:rsidRPr="007C7990" w:rsidRDefault="00000000">
            <w:pPr>
              <w:rPr>
                <w:sz w:val="18"/>
                <w:szCs w:val="18"/>
              </w:rPr>
            </w:pPr>
            <w:r w:rsidRPr="007C7990">
              <w:rPr>
                <w:color w:val="000000"/>
                <w:sz w:val="18"/>
                <w:szCs w:val="18"/>
              </w:rPr>
              <w:t>ICU stay, post-cannulation</w:t>
            </w:r>
          </w:p>
        </w:tc>
        <w:tc>
          <w:tcPr>
            <w:tcW w:w="1700" w:type="dxa"/>
          </w:tcPr>
          <w:p w14:paraId="7AD280F4" w14:textId="77777777" w:rsidR="00A36F80" w:rsidRPr="007C7990" w:rsidRDefault="00000000">
            <w:pPr>
              <w:rPr>
                <w:sz w:val="18"/>
                <w:szCs w:val="18"/>
              </w:rPr>
            </w:pPr>
            <w:r w:rsidRPr="007C7990">
              <w:rPr>
                <w:color w:val="000000"/>
                <w:sz w:val="18"/>
                <w:szCs w:val="18"/>
              </w:rPr>
              <w:t>eCPR / cardiac arrest</w:t>
            </w:r>
          </w:p>
        </w:tc>
      </w:tr>
      <w:tr w:rsidR="00A36F80" w14:paraId="768810B5" w14:textId="77777777">
        <w:tc>
          <w:tcPr>
            <w:tcW w:w="1500" w:type="dxa"/>
          </w:tcPr>
          <w:p w14:paraId="306BD399" w14:textId="77777777" w:rsidR="00A36F80" w:rsidRPr="007C7990" w:rsidRDefault="00000000">
            <w:pPr>
              <w:rPr>
                <w:sz w:val="18"/>
                <w:szCs w:val="18"/>
              </w:rPr>
            </w:pPr>
            <w:r w:rsidRPr="007C7990">
              <w:rPr>
                <w:color w:val="000000"/>
                <w:sz w:val="18"/>
                <w:szCs w:val="18"/>
              </w:rPr>
              <w:t>Guilherme 2020</w:t>
            </w:r>
          </w:p>
        </w:tc>
        <w:tc>
          <w:tcPr>
            <w:tcW w:w="1150" w:type="dxa"/>
          </w:tcPr>
          <w:p w14:paraId="33A15DF0" w14:textId="77777777" w:rsidR="00A36F80" w:rsidRPr="007C7990" w:rsidRDefault="00000000">
            <w:pPr>
              <w:rPr>
                <w:sz w:val="18"/>
                <w:szCs w:val="18"/>
              </w:rPr>
            </w:pPr>
            <w:r w:rsidRPr="007C7990">
              <w:rPr>
                <w:color w:val="000000"/>
                <w:sz w:val="18"/>
                <w:szCs w:val="18"/>
              </w:rPr>
              <w:t>France</w:t>
            </w:r>
          </w:p>
        </w:tc>
        <w:tc>
          <w:tcPr>
            <w:tcW w:w="1500" w:type="dxa"/>
          </w:tcPr>
          <w:p w14:paraId="509D935B" w14:textId="77777777" w:rsidR="00A36F80" w:rsidRPr="007C7990" w:rsidRDefault="00000000">
            <w:pPr>
              <w:rPr>
                <w:sz w:val="18"/>
                <w:szCs w:val="18"/>
              </w:rPr>
            </w:pPr>
            <w:r w:rsidRPr="007C7990">
              <w:rPr>
                <w:color w:val="000000"/>
                <w:sz w:val="18"/>
                <w:szCs w:val="18"/>
              </w:rPr>
              <w:t>Retrospective cohort + PSM</w:t>
            </w:r>
          </w:p>
        </w:tc>
        <w:tc>
          <w:tcPr>
            <w:tcW w:w="900" w:type="dxa"/>
          </w:tcPr>
          <w:p w14:paraId="482AFBBA" w14:textId="77777777" w:rsidR="00A36F80" w:rsidRPr="007C7990" w:rsidRDefault="00000000">
            <w:pPr>
              <w:rPr>
                <w:sz w:val="18"/>
                <w:szCs w:val="18"/>
              </w:rPr>
            </w:pPr>
            <w:r w:rsidRPr="007C7990">
              <w:rPr>
                <w:color w:val="000000"/>
                <w:sz w:val="18"/>
                <w:szCs w:val="18"/>
              </w:rPr>
              <w:t>53 / 147</w:t>
            </w:r>
          </w:p>
        </w:tc>
        <w:tc>
          <w:tcPr>
            <w:tcW w:w="1300" w:type="dxa"/>
          </w:tcPr>
          <w:p w14:paraId="3407D71A" w14:textId="77777777" w:rsidR="00A36F80" w:rsidRPr="007C7990" w:rsidRDefault="00000000">
            <w:pPr>
              <w:rPr>
                <w:sz w:val="18"/>
                <w:szCs w:val="18"/>
              </w:rPr>
            </w:pPr>
            <w:r w:rsidRPr="007C7990">
              <w:rPr>
                <w:color w:val="000000"/>
                <w:sz w:val="18"/>
                <w:szCs w:val="18"/>
              </w:rPr>
              <w:t>53.9±14.3 / 52.6±13.3</w:t>
            </w:r>
          </w:p>
        </w:tc>
        <w:tc>
          <w:tcPr>
            <w:tcW w:w="1000" w:type="dxa"/>
          </w:tcPr>
          <w:p w14:paraId="2BD3D3B1" w14:textId="77777777" w:rsidR="00A36F80" w:rsidRPr="007C7990" w:rsidRDefault="00000000">
            <w:pPr>
              <w:rPr>
                <w:sz w:val="18"/>
                <w:szCs w:val="18"/>
              </w:rPr>
            </w:pPr>
            <w:r w:rsidRPr="007C7990">
              <w:rPr>
                <w:color w:val="000000"/>
                <w:sz w:val="18"/>
                <w:szCs w:val="18"/>
              </w:rPr>
              <w:t>62.3 / 65.3</w:t>
            </w:r>
          </w:p>
        </w:tc>
        <w:tc>
          <w:tcPr>
            <w:tcW w:w="1250" w:type="dxa"/>
          </w:tcPr>
          <w:p w14:paraId="786CFF92" w14:textId="77777777" w:rsidR="00A36F80" w:rsidRPr="007C7990" w:rsidRDefault="00000000">
            <w:pPr>
              <w:rPr>
                <w:sz w:val="18"/>
                <w:szCs w:val="18"/>
              </w:rPr>
            </w:pPr>
            <w:r w:rsidRPr="007C7990">
              <w:rPr>
                <w:color w:val="000000"/>
                <w:sz w:val="18"/>
                <w:szCs w:val="18"/>
              </w:rPr>
              <w:t>18 / 17</w:t>
            </w:r>
          </w:p>
        </w:tc>
        <w:tc>
          <w:tcPr>
            <w:tcW w:w="1500" w:type="dxa"/>
          </w:tcPr>
          <w:p w14:paraId="08956ED1" w14:textId="77777777" w:rsidR="00A36F80" w:rsidRPr="007C7990" w:rsidRDefault="00000000">
            <w:pPr>
              <w:rPr>
                <w:sz w:val="18"/>
                <w:szCs w:val="18"/>
              </w:rPr>
            </w:pPr>
            <w:r w:rsidRPr="007C7990">
              <w:rPr>
                <w:color w:val="000000"/>
                <w:sz w:val="18"/>
                <w:szCs w:val="18"/>
              </w:rPr>
              <w:t>0.1–0.2 µg/kg/min ×24h</w:t>
            </w:r>
          </w:p>
        </w:tc>
        <w:tc>
          <w:tcPr>
            <w:tcW w:w="1350" w:type="dxa"/>
          </w:tcPr>
          <w:p w14:paraId="67C8F541" w14:textId="77777777" w:rsidR="00A36F80" w:rsidRPr="007C7990" w:rsidRDefault="00000000">
            <w:pPr>
              <w:rPr>
                <w:sz w:val="18"/>
                <w:szCs w:val="18"/>
              </w:rPr>
            </w:pPr>
            <w:r w:rsidRPr="007C7990">
              <w:rPr>
                <w:color w:val="000000"/>
                <w:sz w:val="18"/>
                <w:szCs w:val="18"/>
              </w:rPr>
              <w:t>Peri-weaning (mean 6.6d)</w:t>
            </w:r>
          </w:p>
        </w:tc>
        <w:tc>
          <w:tcPr>
            <w:tcW w:w="1700" w:type="dxa"/>
          </w:tcPr>
          <w:p w14:paraId="2375BAB2" w14:textId="77777777" w:rsidR="00A36F80" w:rsidRPr="007C7990" w:rsidRDefault="00000000">
            <w:pPr>
              <w:rPr>
                <w:sz w:val="18"/>
                <w:szCs w:val="18"/>
              </w:rPr>
            </w:pPr>
            <w:r w:rsidRPr="007C7990">
              <w:rPr>
                <w:color w:val="000000"/>
                <w:sz w:val="18"/>
                <w:szCs w:val="18"/>
              </w:rPr>
              <w:t>Post-cardiotomy, AMI, graft dysfunction</w:t>
            </w:r>
          </w:p>
        </w:tc>
      </w:tr>
      <w:tr w:rsidR="00A36F80" w14:paraId="36D687F2" w14:textId="77777777">
        <w:tc>
          <w:tcPr>
            <w:tcW w:w="1500" w:type="dxa"/>
          </w:tcPr>
          <w:p w14:paraId="5CF5EBFC" w14:textId="77777777" w:rsidR="00A36F80" w:rsidRPr="007C7990" w:rsidRDefault="00000000">
            <w:pPr>
              <w:rPr>
                <w:sz w:val="18"/>
                <w:szCs w:val="18"/>
              </w:rPr>
            </w:pPr>
            <w:r w:rsidRPr="007C7990">
              <w:rPr>
                <w:color w:val="000000"/>
                <w:sz w:val="18"/>
                <w:szCs w:val="18"/>
              </w:rPr>
              <w:t>Guinot 2026 (WEANILEVO)</w:t>
            </w:r>
          </w:p>
        </w:tc>
        <w:tc>
          <w:tcPr>
            <w:tcW w:w="1150" w:type="dxa"/>
          </w:tcPr>
          <w:p w14:paraId="616B02AE" w14:textId="77777777" w:rsidR="00A36F80" w:rsidRPr="007C7990" w:rsidRDefault="00000000">
            <w:pPr>
              <w:rPr>
                <w:sz w:val="18"/>
                <w:szCs w:val="18"/>
              </w:rPr>
            </w:pPr>
            <w:r w:rsidRPr="007C7990">
              <w:rPr>
                <w:color w:val="000000"/>
                <w:sz w:val="18"/>
                <w:szCs w:val="18"/>
              </w:rPr>
              <w:t>France (5 centres)</w:t>
            </w:r>
          </w:p>
        </w:tc>
        <w:tc>
          <w:tcPr>
            <w:tcW w:w="1500" w:type="dxa"/>
          </w:tcPr>
          <w:p w14:paraId="6152A8C6" w14:textId="77777777" w:rsidR="00A36F80" w:rsidRPr="007C7990" w:rsidRDefault="00000000">
            <w:pPr>
              <w:rPr>
                <w:sz w:val="18"/>
                <w:szCs w:val="18"/>
              </w:rPr>
            </w:pPr>
            <w:r w:rsidRPr="007C7990">
              <w:rPr>
                <w:color w:val="000000"/>
                <w:sz w:val="18"/>
                <w:szCs w:val="18"/>
              </w:rPr>
              <w:t>RCT</w:t>
            </w:r>
          </w:p>
        </w:tc>
        <w:tc>
          <w:tcPr>
            <w:tcW w:w="900" w:type="dxa"/>
          </w:tcPr>
          <w:p w14:paraId="3B218C6C" w14:textId="77777777" w:rsidR="00A36F80" w:rsidRPr="007C7990" w:rsidRDefault="00000000">
            <w:pPr>
              <w:rPr>
                <w:sz w:val="18"/>
                <w:szCs w:val="18"/>
              </w:rPr>
            </w:pPr>
            <w:r w:rsidRPr="007C7990">
              <w:rPr>
                <w:color w:val="000000"/>
                <w:sz w:val="18"/>
                <w:szCs w:val="18"/>
              </w:rPr>
              <w:t>40 / 40</w:t>
            </w:r>
          </w:p>
        </w:tc>
        <w:tc>
          <w:tcPr>
            <w:tcW w:w="1300" w:type="dxa"/>
          </w:tcPr>
          <w:p w14:paraId="1114D292" w14:textId="77777777" w:rsidR="00A36F80" w:rsidRPr="007C7990" w:rsidRDefault="00000000">
            <w:pPr>
              <w:rPr>
                <w:sz w:val="18"/>
                <w:szCs w:val="18"/>
              </w:rPr>
            </w:pPr>
            <w:r w:rsidRPr="007C7990">
              <w:rPr>
                <w:color w:val="000000"/>
                <w:sz w:val="18"/>
                <w:szCs w:val="18"/>
              </w:rPr>
              <w:t>60±16 / 63±11</w:t>
            </w:r>
          </w:p>
        </w:tc>
        <w:tc>
          <w:tcPr>
            <w:tcW w:w="1000" w:type="dxa"/>
          </w:tcPr>
          <w:p w14:paraId="66DEDB84" w14:textId="77777777" w:rsidR="00A36F80" w:rsidRPr="007C7990" w:rsidRDefault="00000000">
            <w:pPr>
              <w:rPr>
                <w:sz w:val="18"/>
                <w:szCs w:val="18"/>
              </w:rPr>
            </w:pPr>
            <w:r w:rsidRPr="007C7990">
              <w:rPr>
                <w:color w:val="000000"/>
                <w:sz w:val="18"/>
                <w:szCs w:val="18"/>
              </w:rPr>
              <w:t>65.0 / 72.5</w:t>
            </w:r>
          </w:p>
        </w:tc>
        <w:tc>
          <w:tcPr>
            <w:tcW w:w="1250" w:type="dxa"/>
          </w:tcPr>
          <w:p w14:paraId="0E9844CD" w14:textId="77777777" w:rsidR="00A36F80" w:rsidRPr="007C7990" w:rsidRDefault="00000000">
            <w:pPr>
              <w:rPr>
                <w:sz w:val="18"/>
                <w:szCs w:val="18"/>
              </w:rPr>
            </w:pPr>
            <w:r w:rsidRPr="007C7990">
              <w:rPr>
                <w:color w:val="000000"/>
                <w:sz w:val="18"/>
                <w:szCs w:val="18"/>
              </w:rPr>
              <w:t>33±11 / 37±12</w:t>
            </w:r>
          </w:p>
        </w:tc>
        <w:tc>
          <w:tcPr>
            <w:tcW w:w="1500" w:type="dxa"/>
          </w:tcPr>
          <w:p w14:paraId="02942AE4" w14:textId="77777777" w:rsidR="00A36F80" w:rsidRPr="007C7990" w:rsidRDefault="00000000">
            <w:pPr>
              <w:rPr>
                <w:sz w:val="18"/>
                <w:szCs w:val="18"/>
              </w:rPr>
            </w:pPr>
            <w:r w:rsidRPr="007C7990">
              <w:rPr>
                <w:color w:val="000000"/>
                <w:sz w:val="18"/>
                <w:szCs w:val="18"/>
              </w:rPr>
              <w:t>0.2 µg/kg/min ×24h, no bolus</w:t>
            </w:r>
          </w:p>
        </w:tc>
        <w:tc>
          <w:tcPr>
            <w:tcW w:w="1350" w:type="dxa"/>
          </w:tcPr>
          <w:p w14:paraId="093E2C12" w14:textId="77777777" w:rsidR="00A36F80" w:rsidRPr="007C7990" w:rsidRDefault="00000000">
            <w:pPr>
              <w:rPr>
                <w:sz w:val="18"/>
                <w:szCs w:val="18"/>
              </w:rPr>
            </w:pPr>
            <w:r w:rsidRPr="007C7990">
              <w:rPr>
                <w:color w:val="000000"/>
                <w:sz w:val="18"/>
                <w:szCs w:val="18"/>
              </w:rPr>
              <w:t>Peri-weaning</w:t>
            </w:r>
          </w:p>
        </w:tc>
        <w:tc>
          <w:tcPr>
            <w:tcW w:w="1700" w:type="dxa"/>
          </w:tcPr>
          <w:p w14:paraId="312D6DB5" w14:textId="77777777" w:rsidR="00A36F80" w:rsidRPr="007C7990" w:rsidRDefault="00000000">
            <w:pPr>
              <w:rPr>
                <w:sz w:val="18"/>
                <w:szCs w:val="18"/>
              </w:rPr>
            </w:pPr>
            <w:r w:rsidRPr="007C7990">
              <w:rPr>
                <w:color w:val="000000"/>
                <w:sz w:val="18"/>
                <w:szCs w:val="18"/>
              </w:rPr>
              <w:t>Medical &amp; post-cardiotomy CS</w:t>
            </w:r>
          </w:p>
        </w:tc>
      </w:tr>
      <w:tr w:rsidR="00A36F80" w14:paraId="11477C78" w14:textId="77777777">
        <w:tc>
          <w:tcPr>
            <w:tcW w:w="1500" w:type="dxa"/>
          </w:tcPr>
          <w:p w14:paraId="5F2A1947" w14:textId="77777777" w:rsidR="00A36F80" w:rsidRPr="007C7990" w:rsidRDefault="00000000">
            <w:pPr>
              <w:rPr>
                <w:sz w:val="18"/>
                <w:szCs w:val="18"/>
              </w:rPr>
            </w:pPr>
            <w:r w:rsidRPr="007C7990">
              <w:rPr>
                <w:color w:val="000000"/>
                <w:sz w:val="18"/>
                <w:szCs w:val="18"/>
              </w:rPr>
              <w:t>Hau 2022</w:t>
            </w:r>
          </w:p>
        </w:tc>
        <w:tc>
          <w:tcPr>
            <w:tcW w:w="1150" w:type="dxa"/>
          </w:tcPr>
          <w:p w14:paraId="6D18B087" w14:textId="77777777" w:rsidR="00A36F80" w:rsidRPr="007C7990" w:rsidRDefault="00000000">
            <w:pPr>
              <w:rPr>
                <w:sz w:val="18"/>
                <w:szCs w:val="18"/>
              </w:rPr>
            </w:pPr>
            <w:r w:rsidRPr="007C7990">
              <w:rPr>
                <w:color w:val="000000"/>
                <w:sz w:val="18"/>
                <w:szCs w:val="18"/>
              </w:rPr>
              <w:t>Hong Kong</w:t>
            </w:r>
          </w:p>
        </w:tc>
        <w:tc>
          <w:tcPr>
            <w:tcW w:w="1500" w:type="dxa"/>
          </w:tcPr>
          <w:p w14:paraId="67390EEC" w14:textId="77777777" w:rsidR="00A36F80" w:rsidRPr="007C7990" w:rsidRDefault="00000000">
            <w:pPr>
              <w:rPr>
                <w:sz w:val="18"/>
                <w:szCs w:val="18"/>
              </w:rPr>
            </w:pPr>
            <w:r w:rsidRPr="007C7990">
              <w:rPr>
                <w:color w:val="000000"/>
                <w:sz w:val="18"/>
                <w:szCs w:val="18"/>
              </w:rPr>
              <w:t>Retrospective cohort + PSM</w:t>
            </w:r>
          </w:p>
        </w:tc>
        <w:tc>
          <w:tcPr>
            <w:tcW w:w="900" w:type="dxa"/>
          </w:tcPr>
          <w:p w14:paraId="12FE5286" w14:textId="77777777" w:rsidR="00A36F80" w:rsidRPr="007C7990" w:rsidRDefault="00000000">
            <w:pPr>
              <w:rPr>
                <w:sz w:val="18"/>
                <w:szCs w:val="18"/>
              </w:rPr>
            </w:pPr>
            <w:r w:rsidRPr="007C7990">
              <w:rPr>
                <w:color w:val="000000"/>
                <w:sz w:val="18"/>
                <w:szCs w:val="18"/>
              </w:rPr>
              <w:t>38 / 81</w:t>
            </w:r>
          </w:p>
        </w:tc>
        <w:tc>
          <w:tcPr>
            <w:tcW w:w="1300" w:type="dxa"/>
          </w:tcPr>
          <w:p w14:paraId="41B0898A" w14:textId="77777777" w:rsidR="00A36F80" w:rsidRPr="007C7990" w:rsidRDefault="00000000">
            <w:pPr>
              <w:rPr>
                <w:sz w:val="18"/>
                <w:szCs w:val="18"/>
              </w:rPr>
            </w:pPr>
            <w:r w:rsidRPr="007C7990">
              <w:rPr>
                <w:color w:val="000000"/>
                <w:sz w:val="18"/>
                <w:szCs w:val="18"/>
              </w:rPr>
              <w:t>58.4±12.5 / 54.6±14.1</w:t>
            </w:r>
          </w:p>
        </w:tc>
        <w:tc>
          <w:tcPr>
            <w:tcW w:w="1000" w:type="dxa"/>
          </w:tcPr>
          <w:p w14:paraId="2C994914" w14:textId="77777777" w:rsidR="00A36F80" w:rsidRPr="007C7990" w:rsidRDefault="00000000">
            <w:pPr>
              <w:rPr>
                <w:sz w:val="18"/>
                <w:szCs w:val="18"/>
              </w:rPr>
            </w:pPr>
            <w:r w:rsidRPr="007C7990">
              <w:rPr>
                <w:color w:val="000000"/>
                <w:sz w:val="18"/>
                <w:szCs w:val="18"/>
              </w:rPr>
              <w:t>78.9 / 71.6</w:t>
            </w:r>
          </w:p>
        </w:tc>
        <w:tc>
          <w:tcPr>
            <w:tcW w:w="1250" w:type="dxa"/>
          </w:tcPr>
          <w:p w14:paraId="0F9544DB" w14:textId="77777777" w:rsidR="00A36F80" w:rsidRPr="007C7990" w:rsidRDefault="00000000">
            <w:pPr>
              <w:rPr>
                <w:sz w:val="18"/>
                <w:szCs w:val="18"/>
              </w:rPr>
            </w:pPr>
            <w:r w:rsidRPr="007C7990">
              <w:rPr>
                <w:color w:val="000000"/>
                <w:sz w:val="18"/>
                <w:szCs w:val="18"/>
              </w:rPr>
              <w:t>15 / 30 (median)</w:t>
            </w:r>
          </w:p>
        </w:tc>
        <w:tc>
          <w:tcPr>
            <w:tcW w:w="1500" w:type="dxa"/>
          </w:tcPr>
          <w:p w14:paraId="6C7F4F10" w14:textId="77777777" w:rsidR="00A36F80" w:rsidRPr="007C7990" w:rsidRDefault="00000000">
            <w:pPr>
              <w:rPr>
                <w:sz w:val="18"/>
                <w:szCs w:val="18"/>
              </w:rPr>
            </w:pPr>
            <w:r w:rsidRPr="007C7990">
              <w:rPr>
                <w:color w:val="000000"/>
                <w:sz w:val="18"/>
                <w:szCs w:val="18"/>
              </w:rPr>
              <w:t>0.2 µg/kg/min, no bolus</w:t>
            </w:r>
          </w:p>
        </w:tc>
        <w:tc>
          <w:tcPr>
            <w:tcW w:w="1350" w:type="dxa"/>
          </w:tcPr>
          <w:p w14:paraId="6B08F9EB" w14:textId="77777777" w:rsidR="00A36F80" w:rsidRPr="007C7990" w:rsidRDefault="00000000">
            <w:pPr>
              <w:rPr>
                <w:sz w:val="18"/>
                <w:szCs w:val="18"/>
              </w:rPr>
            </w:pPr>
            <w:r w:rsidRPr="007C7990">
              <w:rPr>
                <w:color w:val="000000"/>
                <w:sz w:val="18"/>
                <w:szCs w:val="18"/>
              </w:rPr>
              <w:t>Early (mean 1.5d)</w:t>
            </w:r>
          </w:p>
        </w:tc>
        <w:tc>
          <w:tcPr>
            <w:tcW w:w="1700" w:type="dxa"/>
          </w:tcPr>
          <w:p w14:paraId="526895CB" w14:textId="77777777" w:rsidR="00A36F80" w:rsidRPr="007C7990" w:rsidRDefault="00000000">
            <w:pPr>
              <w:rPr>
                <w:sz w:val="18"/>
                <w:szCs w:val="18"/>
              </w:rPr>
            </w:pPr>
            <w:r w:rsidRPr="007C7990">
              <w:rPr>
                <w:color w:val="000000"/>
                <w:sz w:val="18"/>
                <w:szCs w:val="18"/>
              </w:rPr>
              <w:t>Post-cardiotomy, ECPR, AMI</w:t>
            </w:r>
          </w:p>
        </w:tc>
      </w:tr>
      <w:tr w:rsidR="00A36F80" w14:paraId="7265EF57" w14:textId="77777777">
        <w:tc>
          <w:tcPr>
            <w:tcW w:w="1500" w:type="dxa"/>
          </w:tcPr>
          <w:p w14:paraId="7E7EB466" w14:textId="77777777" w:rsidR="00A36F80" w:rsidRPr="007C7990" w:rsidRDefault="00000000">
            <w:pPr>
              <w:rPr>
                <w:sz w:val="18"/>
                <w:szCs w:val="18"/>
              </w:rPr>
            </w:pPr>
            <w:r w:rsidRPr="007C7990">
              <w:rPr>
                <w:color w:val="000000"/>
                <w:sz w:val="18"/>
                <w:szCs w:val="18"/>
              </w:rPr>
              <w:t>Jacky 2018</w:t>
            </w:r>
          </w:p>
        </w:tc>
        <w:tc>
          <w:tcPr>
            <w:tcW w:w="1150" w:type="dxa"/>
          </w:tcPr>
          <w:p w14:paraId="5DDB9EB8" w14:textId="77777777" w:rsidR="00A36F80" w:rsidRPr="007C7990" w:rsidRDefault="00000000">
            <w:pPr>
              <w:rPr>
                <w:sz w:val="18"/>
                <w:szCs w:val="18"/>
              </w:rPr>
            </w:pPr>
            <w:r w:rsidRPr="007C7990">
              <w:rPr>
                <w:color w:val="000000"/>
                <w:sz w:val="18"/>
                <w:szCs w:val="18"/>
              </w:rPr>
              <w:t>Switzerland</w:t>
            </w:r>
          </w:p>
        </w:tc>
        <w:tc>
          <w:tcPr>
            <w:tcW w:w="1500" w:type="dxa"/>
          </w:tcPr>
          <w:p w14:paraId="4D64E7D0" w14:textId="77777777" w:rsidR="00A36F80" w:rsidRPr="007C7990" w:rsidRDefault="00000000">
            <w:pPr>
              <w:rPr>
                <w:sz w:val="18"/>
                <w:szCs w:val="18"/>
              </w:rPr>
            </w:pPr>
            <w:r w:rsidRPr="007C7990">
              <w:rPr>
                <w:color w:val="000000"/>
                <w:sz w:val="18"/>
                <w:szCs w:val="18"/>
              </w:rPr>
              <w:t>Retrospective before-after</w:t>
            </w:r>
          </w:p>
        </w:tc>
        <w:tc>
          <w:tcPr>
            <w:tcW w:w="900" w:type="dxa"/>
          </w:tcPr>
          <w:p w14:paraId="331DF0C7" w14:textId="77777777" w:rsidR="00A36F80" w:rsidRPr="007C7990" w:rsidRDefault="00000000">
            <w:pPr>
              <w:rPr>
                <w:sz w:val="18"/>
                <w:szCs w:val="18"/>
              </w:rPr>
            </w:pPr>
            <w:r w:rsidRPr="007C7990">
              <w:rPr>
                <w:color w:val="000000"/>
                <w:sz w:val="18"/>
                <w:szCs w:val="18"/>
              </w:rPr>
              <w:t>26 / 38</w:t>
            </w:r>
          </w:p>
        </w:tc>
        <w:tc>
          <w:tcPr>
            <w:tcW w:w="1300" w:type="dxa"/>
          </w:tcPr>
          <w:p w14:paraId="1EAAD072" w14:textId="77777777" w:rsidR="00A36F80" w:rsidRPr="007C7990" w:rsidRDefault="00000000">
            <w:pPr>
              <w:rPr>
                <w:sz w:val="18"/>
                <w:szCs w:val="18"/>
              </w:rPr>
            </w:pPr>
            <w:r w:rsidRPr="007C7990">
              <w:rPr>
                <w:color w:val="000000"/>
                <w:sz w:val="18"/>
                <w:szCs w:val="18"/>
              </w:rPr>
              <w:t>66 (59–71) / 63 (57–71)</w:t>
            </w:r>
          </w:p>
        </w:tc>
        <w:tc>
          <w:tcPr>
            <w:tcW w:w="1000" w:type="dxa"/>
          </w:tcPr>
          <w:p w14:paraId="1A0B6A33" w14:textId="77777777" w:rsidR="00A36F80" w:rsidRPr="007C7990" w:rsidRDefault="00000000">
            <w:pPr>
              <w:rPr>
                <w:sz w:val="18"/>
                <w:szCs w:val="18"/>
              </w:rPr>
            </w:pPr>
            <w:r w:rsidRPr="007C7990">
              <w:rPr>
                <w:color w:val="000000"/>
                <w:sz w:val="18"/>
                <w:szCs w:val="18"/>
              </w:rPr>
              <w:t>80.8 / 76.3</w:t>
            </w:r>
          </w:p>
        </w:tc>
        <w:tc>
          <w:tcPr>
            <w:tcW w:w="1250" w:type="dxa"/>
          </w:tcPr>
          <w:p w14:paraId="42F5F6A0" w14:textId="77777777" w:rsidR="00A36F80" w:rsidRPr="007C7990" w:rsidRDefault="00000000">
            <w:pPr>
              <w:rPr>
                <w:sz w:val="18"/>
                <w:szCs w:val="18"/>
              </w:rPr>
            </w:pPr>
            <w:r w:rsidRPr="007C7990">
              <w:rPr>
                <w:color w:val="000000"/>
                <w:sz w:val="18"/>
                <w:szCs w:val="18"/>
              </w:rPr>
              <w:t>≥30 (weaning criterion)</w:t>
            </w:r>
          </w:p>
        </w:tc>
        <w:tc>
          <w:tcPr>
            <w:tcW w:w="1500" w:type="dxa"/>
          </w:tcPr>
          <w:p w14:paraId="710338A1" w14:textId="77777777" w:rsidR="00A36F80" w:rsidRPr="007C7990" w:rsidRDefault="00000000">
            <w:pPr>
              <w:rPr>
                <w:sz w:val="18"/>
                <w:szCs w:val="18"/>
              </w:rPr>
            </w:pPr>
            <w:r w:rsidRPr="007C7990">
              <w:rPr>
                <w:color w:val="000000"/>
                <w:sz w:val="18"/>
                <w:szCs w:val="18"/>
              </w:rPr>
              <w:t>vs milrinone comparator</w:t>
            </w:r>
          </w:p>
        </w:tc>
        <w:tc>
          <w:tcPr>
            <w:tcW w:w="1350" w:type="dxa"/>
          </w:tcPr>
          <w:p w14:paraId="23A076E5" w14:textId="77777777" w:rsidR="00A36F80" w:rsidRPr="007C7990" w:rsidRDefault="00000000">
            <w:pPr>
              <w:rPr>
                <w:sz w:val="18"/>
                <w:szCs w:val="18"/>
              </w:rPr>
            </w:pPr>
            <w:r w:rsidRPr="007C7990">
              <w:rPr>
                <w:color w:val="000000"/>
                <w:sz w:val="18"/>
                <w:szCs w:val="18"/>
              </w:rPr>
              <w:t>Peri-weaning</w:t>
            </w:r>
          </w:p>
        </w:tc>
        <w:tc>
          <w:tcPr>
            <w:tcW w:w="1700" w:type="dxa"/>
          </w:tcPr>
          <w:p w14:paraId="5DFDF326" w14:textId="77777777" w:rsidR="00A36F80" w:rsidRPr="007C7990" w:rsidRDefault="00000000">
            <w:pPr>
              <w:rPr>
                <w:sz w:val="18"/>
                <w:szCs w:val="18"/>
              </w:rPr>
            </w:pPr>
            <w:r w:rsidRPr="007C7990">
              <w:rPr>
                <w:color w:val="000000"/>
                <w:sz w:val="18"/>
                <w:szCs w:val="18"/>
              </w:rPr>
              <w:t>Post-cardiac surgery</w:t>
            </w:r>
          </w:p>
        </w:tc>
      </w:tr>
      <w:tr w:rsidR="00A36F80" w14:paraId="75B69A26" w14:textId="77777777">
        <w:tc>
          <w:tcPr>
            <w:tcW w:w="1500" w:type="dxa"/>
          </w:tcPr>
          <w:p w14:paraId="4B9BC415" w14:textId="77777777" w:rsidR="00A36F80" w:rsidRPr="007C7990" w:rsidRDefault="00000000">
            <w:pPr>
              <w:rPr>
                <w:sz w:val="18"/>
                <w:szCs w:val="18"/>
              </w:rPr>
            </w:pPr>
            <w:r w:rsidRPr="007C7990">
              <w:rPr>
                <w:color w:val="000000"/>
                <w:sz w:val="18"/>
                <w:szCs w:val="18"/>
              </w:rPr>
              <w:t>Kaddoura 2025</w:t>
            </w:r>
          </w:p>
        </w:tc>
        <w:tc>
          <w:tcPr>
            <w:tcW w:w="1150" w:type="dxa"/>
          </w:tcPr>
          <w:p w14:paraId="31BE2DA0" w14:textId="77777777" w:rsidR="00A36F80" w:rsidRPr="007C7990" w:rsidRDefault="00000000">
            <w:pPr>
              <w:rPr>
                <w:sz w:val="18"/>
                <w:szCs w:val="18"/>
              </w:rPr>
            </w:pPr>
            <w:r w:rsidRPr="007C7990">
              <w:rPr>
                <w:color w:val="000000"/>
                <w:sz w:val="18"/>
                <w:szCs w:val="18"/>
              </w:rPr>
              <w:t>Qatar</w:t>
            </w:r>
          </w:p>
        </w:tc>
        <w:tc>
          <w:tcPr>
            <w:tcW w:w="1500" w:type="dxa"/>
          </w:tcPr>
          <w:p w14:paraId="67E91E5A" w14:textId="77777777" w:rsidR="00A36F80" w:rsidRPr="007C7990" w:rsidRDefault="00000000">
            <w:pPr>
              <w:rPr>
                <w:sz w:val="18"/>
                <w:szCs w:val="18"/>
              </w:rPr>
            </w:pPr>
            <w:r w:rsidRPr="007C7990">
              <w:rPr>
                <w:color w:val="000000"/>
                <w:sz w:val="18"/>
                <w:szCs w:val="18"/>
              </w:rPr>
              <w:t>Retrospective cohort</w:t>
            </w:r>
          </w:p>
        </w:tc>
        <w:tc>
          <w:tcPr>
            <w:tcW w:w="900" w:type="dxa"/>
          </w:tcPr>
          <w:p w14:paraId="753E4A9E" w14:textId="77777777" w:rsidR="00A36F80" w:rsidRPr="007C7990" w:rsidRDefault="00000000">
            <w:pPr>
              <w:rPr>
                <w:sz w:val="18"/>
                <w:szCs w:val="18"/>
              </w:rPr>
            </w:pPr>
            <w:r w:rsidRPr="007C7990">
              <w:rPr>
                <w:color w:val="000000"/>
                <w:sz w:val="18"/>
                <w:szCs w:val="18"/>
              </w:rPr>
              <w:t>18 / 69</w:t>
            </w:r>
          </w:p>
        </w:tc>
        <w:tc>
          <w:tcPr>
            <w:tcW w:w="1300" w:type="dxa"/>
          </w:tcPr>
          <w:p w14:paraId="71C18D20" w14:textId="77777777" w:rsidR="00A36F80" w:rsidRPr="007C7990" w:rsidRDefault="00000000">
            <w:pPr>
              <w:rPr>
                <w:sz w:val="18"/>
                <w:szCs w:val="18"/>
              </w:rPr>
            </w:pPr>
            <w:r w:rsidRPr="007C7990">
              <w:rPr>
                <w:color w:val="000000"/>
                <w:sz w:val="18"/>
                <w:szCs w:val="18"/>
              </w:rPr>
              <w:t>41.5±23.0 / 47.0±18.0</w:t>
            </w:r>
          </w:p>
        </w:tc>
        <w:tc>
          <w:tcPr>
            <w:tcW w:w="1000" w:type="dxa"/>
          </w:tcPr>
          <w:p w14:paraId="294FFD09" w14:textId="77777777" w:rsidR="00A36F80" w:rsidRPr="007C7990" w:rsidRDefault="00000000">
            <w:pPr>
              <w:rPr>
                <w:sz w:val="18"/>
                <w:szCs w:val="18"/>
              </w:rPr>
            </w:pPr>
            <w:r w:rsidRPr="007C7990">
              <w:rPr>
                <w:color w:val="000000"/>
                <w:sz w:val="18"/>
                <w:szCs w:val="18"/>
              </w:rPr>
              <w:t>88.9 / 85.5</w:t>
            </w:r>
          </w:p>
        </w:tc>
        <w:tc>
          <w:tcPr>
            <w:tcW w:w="1250" w:type="dxa"/>
          </w:tcPr>
          <w:p w14:paraId="7CAB1835" w14:textId="77777777" w:rsidR="00A36F80" w:rsidRPr="007C7990" w:rsidRDefault="00000000">
            <w:pPr>
              <w:rPr>
                <w:sz w:val="18"/>
                <w:szCs w:val="18"/>
              </w:rPr>
            </w:pPr>
            <w:r w:rsidRPr="007C7990">
              <w:rPr>
                <w:color w:val="000000"/>
                <w:sz w:val="18"/>
                <w:szCs w:val="18"/>
              </w:rPr>
              <w:t>15.2±21.5</w:t>
            </w:r>
          </w:p>
        </w:tc>
        <w:tc>
          <w:tcPr>
            <w:tcW w:w="1500" w:type="dxa"/>
          </w:tcPr>
          <w:p w14:paraId="4ACCB691" w14:textId="77777777" w:rsidR="00A36F80" w:rsidRPr="007C7990" w:rsidRDefault="00000000">
            <w:pPr>
              <w:rPr>
                <w:sz w:val="18"/>
                <w:szCs w:val="18"/>
              </w:rPr>
            </w:pPr>
            <w:r w:rsidRPr="007C7990">
              <w:rPr>
                <w:color w:val="000000"/>
                <w:sz w:val="18"/>
                <w:szCs w:val="18"/>
              </w:rPr>
              <w:t>0.1→0.2 µg/kg/min ×24h</w:t>
            </w:r>
          </w:p>
        </w:tc>
        <w:tc>
          <w:tcPr>
            <w:tcW w:w="1350" w:type="dxa"/>
          </w:tcPr>
          <w:p w14:paraId="2A84C8B2" w14:textId="77777777" w:rsidR="00A36F80" w:rsidRPr="007C7990" w:rsidRDefault="00000000">
            <w:pPr>
              <w:rPr>
                <w:sz w:val="18"/>
                <w:szCs w:val="18"/>
              </w:rPr>
            </w:pPr>
            <w:r w:rsidRPr="007C7990">
              <w:rPr>
                <w:color w:val="000000"/>
                <w:sz w:val="18"/>
                <w:szCs w:val="18"/>
              </w:rPr>
              <w:t>Once stabilizing</w:t>
            </w:r>
          </w:p>
        </w:tc>
        <w:tc>
          <w:tcPr>
            <w:tcW w:w="1700" w:type="dxa"/>
          </w:tcPr>
          <w:p w14:paraId="43141D58" w14:textId="77777777" w:rsidR="00A36F80" w:rsidRPr="007C7990" w:rsidRDefault="00000000">
            <w:pPr>
              <w:rPr>
                <w:sz w:val="18"/>
                <w:szCs w:val="18"/>
              </w:rPr>
            </w:pPr>
            <w:r w:rsidRPr="007C7990">
              <w:rPr>
                <w:color w:val="000000"/>
                <w:sz w:val="18"/>
                <w:szCs w:val="18"/>
              </w:rPr>
              <w:t>ECPR (refractory arrest); AMI 59.8%</w:t>
            </w:r>
          </w:p>
        </w:tc>
      </w:tr>
      <w:tr w:rsidR="00A36F80" w14:paraId="59B2FF28" w14:textId="77777777">
        <w:tc>
          <w:tcPr>
            <w:tcW w:w="1500" w:type="dxa"/>
          </w:tcPr>
          <w:p w14:paraId="79449432" w14:textId="77777777" w:rsidR="00A36F80" w:rsidRPr="007C7990" w:rsidRDefault="00000000">
            <w:pPr>
              <w:rPr>
                <w:sz w:val="18"/>
                <w:szCs w:val="18"/>
              </w:rPr>
            </w:pPr>
            <w:r w:rsidRPr="007C7990">
              <w:rPr>
                <w:color w:val="000000"/>
                <w:sz w:val="18"/>
                <w:szCs w:val="18"/>
              </w:rPr>
              <w:t>Massol 2023</w:t>
            </w:r>
          </w:p>
        </w:tc>
        <w:tc>
          <w:tcPr>
            <w:tcW w:w="1150" w:type="dxa"/>
          </w:tcPr>
          <w:p w14:paraId="56F62DAF" w14:textId="77777777" w:rsidR="00A36F80" w:rsidRPr="007C7990" w:rsidRDefault="00000000">
            <w:pPr>
              <w:rPr>
                <w:sz w:val="18"/>
                <w:szCs w:val="18"/>
              </w:rPr>
            </w:pPr>
            <w:r w:rsidRPr="007C7990">
              <w:rPr>
                <w:color w:val="000000"/>
                <w:sz w:val="18"/>
                <w:szCs w:val="18"/>
              </w:rPr>
              <w:t>France</w:t>
            </w:r>
          </w:p>
        </w:tc>
        <w:tc>
          <w:tcPr>
            <w:tcW w:w="1500" w:type="dxa"/>
          </w:tcPr>
          <w:p w14:paraId="3D438597" w14:textId="77777777" w:rsidR="00A36F80" w:rsidRPr="007C7990" w:rsidRDefault="00000000">
            <w:pPr>
              <w:rPr>
                <w:sz w:val="18"/>
                <w:szCs w:val="18"/>
              </w:rPr>
            </w:pPr>
            <w:r w:rsidRPr="007C7990">
              <w:rPr>
                <w:color w:val="000000"/>
                <w:sz w:val="18"/>
                <w:szCs w:val="18"/>
              </w:rPr>
              <w:t>Retrospective cohort (target-trial)</w:t>
            </w:r>
          </w:p>
        </w:tc>
        <w:tc>
          <w:tcPr>
            <w:tcW w:w="900" w:type="dxa"/>
          </w:tcPr>
          <w:p w14:paraId="6268C4B9" w14:textId="77777777" w:rsidR="00A36F80" w:rsidRPr="007C7990" w:rsidRDefault="00000000">
            <w:pPr>
              <w:rPr>
                <w:sz w:val="18"/>
                <w:szCs w:val="18"/>
              </w:rPr>
            </w:pPr>
            <w:r w:rsidRPr="007C7990">
              <w:rPr>
                <w:color w:val="000000"/>
                <w:sz w:val="18"/>
                <w:szCs w:val="18"/>
              </w:rPr>
              <w:t>65 / 174</w:t>
            </w:r>
          </w:p>
        </w:tc>
        <w:tc>
          <w:tcPr>
            <w:tcW w:w="1300" w:type="dxa"/>
          </w:tcPr>
          <w:p w14:paraId="684FE95C" w14:textId="77777777" w:rsidR="00A36F80" w:rsidRPr="007C7990" w:rsidRDefault="00000000">
            <w:pPr>
              <w:rPr>
                <w:sz w:val="18"/>
                <w:szCs w:val="18"/>
              </w:rPr>
            </w:pPr>
            <w:r w:rsidRPr="007C7990">
              <w:rPr>
                <w:color w:val="000000"/>
                <w:sz w:val="18"/>
                <w:szCs w:val="18"/>
              </w:rPr>
              <w:t>62 / 62 (median)</w:t>
            </w:r>
          </w:p>
        </w:tc>
        <w:tc>
          <w:tcPr>
            <w:tcW w:w="1000" w:type="dxa"/>
          </w:tcPr>
          <w:p w14:paraId="5CB86DCC" w14:textId="77777777" w:rsidR="00A36F80" w:rsidRPr="007C7990" w:rsidRDefault="00000000">
            <w:pPr>
              <w:rPr>
                <w:sz w:val="18"/>
                <w:szCs w:val="18"/>
              </w:rPr>
            </w:pPr>
            <w:r w:rsidRPr="007C7990">
              <w:rPr>
                <w:color w:val="000000"/>
                <w:sz w:val="18"/>
                <w:szCs w:val="18"/>
              </w:rPr>
              <w:t>66 / 61</w:t>
            </w:r>
          </w:p>
        </w:tc>
        <w:tc>
          <w:tcPr>
            <w:tcW w:w="1250" w:type="dxa"/>
          </w:tcPr>
          <w:p w14:paraId="2A592339" w14:textId="77777777" w:rsidR="00A36F80" w:rsidRPr="007C7990" w:rsidRDefault="00000000">
            <w:pPr>
              <w:rPr>
                <w:sz w:val="18"/>
                <w:szCs w:val="18"/>
              </w:rPr>
            </w:pPr>
            <w:r w:rsidRPr="007C7990">
              <w:rPr>
                <w:color w:val="000000"/>
                <w:sz w:val="18"/>
                <w:szCs w:val="18"/>
              </w:rPr>
              <w:t>NR</w:t>
            </w:r>
          </w:p>
        </w:tc>
        <w:tc>
          <w:tcPr>
            <w:tcW w:w="1500" w:type="dxa"/>
          </w:tcPr>
          <w:p w14:paraId="38A8FBB4" w14:textId="77777777" w:rsidR="00A36F80" w:rsidRPr="007C7990" w:rsidRDefault="00000000">
            <w:pPr>
              <w:rPr>
                <w:sz w:val="18"/>
                <w:szCs w:val="18"/>
              </w:rPr>
            </w:pPr>
            <w:r w:rsidRPr="007C7990">
              <w:rPr>
                <w:color w:val="000000"/>
                <w:sz w:val="18"/>
                <w:szCs w:val="18"/>
              </w:rPr>
              <w:t>0.2 µg/kg/min ×24h</w:t>
            </w:r>
          </w:p>
        </w:tc>
        <w:tc>
          <w:tcPr>
            <w:tcW w:w="1350" w:type="dxa"/>
          </w:tcPr>
          <w:p w14:paraId="45CCF27F" w14:textId="77777777" w:rsidR="00A36F80" w:rsidRPr="007C7990" w:rsidRDefault="00000000">
            <w:pPr>
              <w:rPr>
                <w:sz w:val="18"/>
                <w:szCs w:val="18"/>
              </w:rPr>
            </w:pPr>
            <w:r w:rsidRPr="007C7990">
              <w:rPr>
                <w:color w:val="000000"/>
                <w:sz w:val="18"/>
                <w:szCs w:val="18"/>
              </w:rPr>
              <w:t>Early (after 24h VA-ECMO)</w:t>
            </w:r>
          </w:p>
        </w:tc>
        <w:tc>
          <w:tcPr>
            <w:tcW w:w="1700" w:type="dxa"/>
          </w:tcPr>
          <w:p w14:paraId="627FBE43" w14:textId="77777777" w:rsidR="00A36F80" w:rsidRPr="007C7990" w:rsidRDefault="00000000">
            <w:pPr>
              <w:rPr>
                <w:sz w:val="18"/>
                <w:szCs w:val="18"/>
              </w:rPr>
            </w:pPr>
            <w:r w:rsidRPr="007C7990">
              <w:rPr>
                <w:color w:val="000000"/>
                <w:sz w:val="18"/>
                <w:szCs w:val="18"/>
              </w:rPr>
              <w:t>Post-cardiotomy CS</w:t>
            </w:r>
          </w:p>
        </w:tc>
      </w:tr>
      <w:tr w:rsidR="00A36F80" w14:paraId="37B17099" w14:textId="77777777">
        <w:tc>
          <w:tcPr>
            <w:tcW w:w="1500" w:type="dxa"/>
          </w:tcPr>
          <w:p w14:paraId="42F3942C" w14:textId="77777777" w:rsidR="00A36F80" w:rsidRPr="007C7990" w:rsidRDefault="00000000">
            <w:pPr>
              <w:rPr>
                <w:sz w:val="18"/>
                <w:szCs w:val="18"/>
              </w:rPr>
            </w:pPr>
            <w:r w:rsidRPr="007C7990">
              <w:rPr>
                <w:color w:val="000000"/>
                <w:sz w:val="18"/>
                <w:szCs w:val="18"/>
              </w:rPr>
              <w:t>Paulo 2025*</w:t>
            </w:r>
          </w:p>
        </w:tc>
        <w:tc>
          <w:tcPr>
            <w:tcW w:w="1150" w:type="dxa"/>
          </w:tcPr>
          <w:p w14:paraId="15883261" w14:textId="77777777" w:rsidR="00A36F80" w:rsidRPr="007C7990" w:rsidRDefault="00000000">
            <w:pPr>
              <w:rPr>
                <w:sz w:val="18"/>
                <w:szCs w:val="18"/>
              </w:rPr>
            </w:pPr>
            <w:r w:rsidRPr="007C7990">
              <w:rPr>
                <w:color w:val="000000"/>
                <w:sz w:val="18"/>
                <w:szCs w:val="18"/>
              </w:rPr>
              <w:t>France (2 centres)</w:t>
            </w:r>
          </w:p>
        </w:tc>
        <w:tc>
          <w:tcPr>
            <w:tcW w:w="1500" w:type="dxa"/>
          </w:tcPr>
          <w:p w14:paraId="25017746" w14:textId="77777777" w:rsidR="00A36F80" w:rsidRPr="007C7990" w:rsidRDefault="00000000">
            <w:pPr>
              <w:rPr>
                <w:sz w:val="18"/>
                <w:szCs w:val="18"/>
              </w:rPr>
            </w:pPr>
            <w:r w:rsidRPr="007C7990">
              <w:rPr>
                <w:color w:val="000000"/>
                <w:sz w:val="18"/>
                <w:szCs w:val="18"/>
              </w:rPr>
              <w:t>Retrospective cohort</w:t>
            </w:r>
          </w:p>
        </w:tc>
        <w:tc>
          <w:tcPr>
            <w:tcW w:w="900" w:type="dxa"/>
          </w:tcPr>
          <w:p w14:paraId="44498F92" w14:textId="77777777" w:rsidR="00A36F80" w:rsidRPr="007C7990" w:rsidRDefault="00000000">
            <w:pPr>
              <w:rPr>
                <w:sz w:val="18"/>
                <w:szCs w:val="18"/>
              </w:rPr>
            </w:pPr>
            <w:r w:rsidRPr="007C7990">
              <w:rPr>
                <w:color w:val="000000"/>
                <w:sz w:val="18"/>
                <w:szCs w:val="18"/>
              </w:rPr>
              <w:t>47 / 47*</w:t>
            </w:r>
          </w:p>
        </w:tc>
        <w:tc>
          <w:tcPr>
            <w:tcW w:w="1300" w:type="dxa"/>
          </w:tcPr>
          <w:p w14:paraId="5515B765" w14:textId="77777777" w:rsidR="00A36F80" w:rsidRPr="007C7990" w:rsidRDefault="00000000">
            <w:pPr>
              <w:rPr>
                <w:sz w:val="18"/>
                <w:szCs w:val="18"/>
              </w:rPr>
            </w:pPr>
            <w:r w:rsidRPr="007C7990">
              <w:rPr>
                <w:color w:val="000000"/>
                <w:sz w:val="18"/>
                <w:szCs w:val="18"/>
              </w:rPr>
              <w:t>57 (50–63) / 52 (43–60)</w:t>
            </w:r>
          </w:p>
        </w:tc>
        <w:tc>
          <w:tcPr>
            <w:tcW w:w="1000" w:type="dxa"/>
          </w:tcPr>
          <w:p w14:paraId="3D2971FC" w14:textId="77777777" w:rsidR="00A36F80" w:rsidRPr="007C7990" w:rsidRDefault="00000000">
            <w:pPr>
              <w:rPr>
                <w:sz w:val="18"/>
                <w:szCs w:val="18"/>
              </w:rPr>
            </w:pPr>
            <w:r w:rsidRPr="007C7990">
              <w:rPr>
                <w:color w:val="000000"/>
                <w:sz w:val="18"/>
                <w:szCs w:val="18"/>
              </w:rPr>
              <w:t>74 / 71</w:t>
            </w:r>
          </w:p>
        </w:tc>
        <w:tc>
          <w:tcPr>
            <w:tcW w:w="1250" w:type="dxa"/>
          </w:tcPr>
          <w:p w14:paraId="7A06B7A5" w14:textId="77777777" w:rsidR="00A36F80" w:rsidRPr="007C7990" w:rsidRDefault="00000000">
            <w:pPr>
              <w:rPr>
                <w:sz w:val="18"/>
                <w:szCs w:val="18"/>
              </w:rPr>
            </w:pPr>
            <w:r w:rsidRPr="007C7990">
              <w:rPr>
                <w:color w:val="000000"/>
                <w:sz w:val="18"/>
                <w:szCs w:val="18"/>
              </w:rPr>
              <w:t>15 (10–20) / 10 (5–15)</w:t>
            </w:r>
          </w:p>
        </w:tc>
        <w:tc>
          <w:tcPr>
            <w:tcW w:w="1500" w:type="dxa"/>
          </w:tcPr>
          <w:p w14:paraId="6EC032BE" w14:textId="77777777" w:rsidR="00A36F80" w:rsidRPr="007C7990" w:rsidRDefault="00000000">
            <w:pPr>
              <w:rPr>
                <w:sz w:val="18"/>
                <w:szCs w:val="18"/>
              </w:rPr>
            </w:pPr>
            <w:r w:rsidRPr="007C7990">
              <w:rPr>
                <w:color w:val="000000"/>
                <w:sz w:val="18"/>
                <w:szCs w:val="18"/>
              </w:rPr>
              <w:t>Continuous ×24h, no bolus</w:t>
            </w:r>
          </w:p>
        </w:tc>
        <w:tc>
          <w:tcPr>
            <w:tcW w:w="1350" w:type="dxa"/>
          </w:tcPr>
          <w:p w14:paraId="5E67A253" w14:textId="77777777" w:rsidR="00A36F80" w:rsidRPr="007C7990" w:rsidRDefault="00000000">
            <w:pPr>
              <w:rPr>
                <w:sz w:val="18"/>
                <w:szCs w:val="18"/>
              </w:rPr>
            </w:pPr>
            <w:r w:rsidRPr="007C7990">
              <w:rPr>
                <w:color w:val="000000"/>
                <w:sz w:val="18"/>
                <w:szCs w:val="18"/>
              </w:rPr>
              <w:t>Stabilised, recovery potential</w:t>
            </w:r>
          </w:p>
        </w:tc>
        <w:tc>
          <w:tcPr>
            <w:tcW w:w="1700" w:type="dxa"/>
          </w:tcPr>
          <w:p w14:paraId="48CB3B5E" w14:textId="77777777" w:rsidR="00A36F80" w:rsidRPr="007C7990" w:rsidRDefault="00000000">
            <w:pPr>
              <w:rPr>
                <w:sz w:val="18"/>
                <w:szCs w:val="18"/>
              </w:rPr>
            </w:pPr>
            <w:r w:rsidRPr="007C7990">
              <w:rPr>
                <w:color w:val="000000"/>
                <w:sz w:val="18"/>
                <w:szCs w:val="18"/>
              </w:rPr>
              <w:t>Mixed (AMI 74%, myocarditis 10%)</w:t>
            </w:r>
          </w:p>
        </w:tc>
      </w:tr>
      <w:tr w:rsidR="00A36F80" w14:paraId="3988EA7A" w14:textId="77777777">
        <w:tc>
          <w:tcPr>
            <w:tcW w:w="1500" w:type="dxa"/>
          </w:tcPr>
          <w:p w14:paraId="2D396331" w14:textId="77777777" w:rsidR="00A36F80" w:rsidRPr="007C7990" w:rsidRDefault="00000000">
            <w:pPr>
              <w:rPr>
                <w:sz w:val="18"/>
                <w:szCs w:val="18"/>
              </w:rPr>
            </w:pPr>
            <w:r w:rsidRPr="007C7990">
              <w:rPr>
                <w:color w:val="000000"/>
                <w:sz w:val="18"/>
                <w:szCs w:val="18"/>
              </w:rPr>
              <w:t>Vally 2019</w:t>
            </w:r>
          </w:p>
        </w:tc>
        <w:tc>
          <w:tcPr>
            <w:tcW w:w="1150" w:type="dxa"/>
          </w:tcPr>
          <w:p w14:paraId="0D9F1ED4" w14:textId="77777777" w:rsidR="00A36F80" w:rsidRPr="007C7990" w:rsidRDefault="00000000">
            <w:pPr>
              <w:rPr>
                <w:sz w:val="18"/>
                <w:szCs w:val="18"/>
              </w:rPr>
            </w:pPr>
            <w:r w:rsidRPr="007C7990">
              <w:rPr>
                <w:color w:val="000000"/>
                <w:sz w:val="18"/>
                <w:szCs w:val="18"/>
              </w:rPr>
              <w:t>France (Réunion)</w:t>
            </w:r>
          </w:p>
        </w:tc>
        <w:tc>
          <w:tcPr>
            <w:tcW w:w="1500" w:type="dxa"/>
          </w:tcPr>
          <w:p w14:paraId="2C6E5E31" w14:textId="77777777" w:rsidR="00A36F80" w:rsidRPr="007C7990" w:rsidRDefault="00000000">
            <w:pPr>
              <w:rPr>
                <w:sz w:val="18"/>
                <w:szCs w:val="18"/>
              </w:rPr>
            </w:pPr>
            <w:r w:rsidRPr="007C7990">
              <w:rPr>
                <w:color w:val="000000"/>
                <w:sz w:val="18"/>
                <w:szCs w:val="18"/>
              </w:rPr>
              <w:t>Retrospective cohort + PSM</w:t>
            </w:r>
          </w:p>
        </w:tc>
        <w:tc>
          <w:tcPr>
            <w:tcW w:w="900" w:type="dxa"/>
          </w:tcPr>
          <w:p w14:paraId="212059F7" w14:textId="77777777" w:rsidR="00A36F80" w:rsidRPr="007C7990" w:rsidRDefault="00000000">
            <w:pPr>
              <w:rPr>
                <w:sz w:val="18"/>
                <w:szCs w:val="18"/>
              </w:rPr>
            </w:pPr>
            <w:r w:rsidRPr="007C7990">
              <w:rPr>
                <w:color w:val="000000"/>
                <w:sz w:val="18"/>
                <w:szCs w:val="18"/>
              </w:rPr>
              <w:t>51 / 99</w:t>
            </w:r>
          </w:p>
        </w:tc>
        <w:tc>
          <w:tcPr>
            <w:tcW w:w="1300" w:type="dxa"/>
          </w:tcPr>
          <w:p w14:paraId="71281C3D" w14:textId="77777777" w:rsidR="00A36F80" w:rsidRPr="007C7990" w:rsidRDefault="00000000">
            <w:pPr>
              <w:rPr>
                <w:sz w:val="18"/>
                <w:szCs w:val="18"/>
              </w:rPr>
            </w:pPr>
            <w:r w:rsidRPr="007C7990">
              <w:rPr>
                <w:color w:val="000000"/>
                <w:sz w:val="18"/>
                <w:szCs w:val="18"/>
              </w:rPr>
              <w:t>53.6±15.4 / 53.2±14.9</w:t>
            </w:r>
          </w:p>
        </w:tc>
        <w:tc>
          <w:tcPr>
            <w:tcW w:w="1000" w:type="dxa"/>
          </w:tcPr>
          <w:p w14:paraId="2AD04340" w14:textId="77777777" w:rsidR="00A36F80" w:rsidRPr="007C7990" w:rsidRDefault="00000000">
            <w:pPr>
              <w:rPr>
                <w:sz w:val="18"/>
                <w:szCs w:val="18"/>
              </w:rPr>
            </w:pPr>
            <w:r w:rsidRPr="007C7990">
              <w:rPr>
                <w:color w:val="000000"/>
                <w:sz w:val="18"/>
                <w:szCs w:val="18"/>
              </w:rPr>
              <w:t>70.6 / 62.6</w:t>
            </w:r>
          </w:p>
        </w:tc>
        <w:tc>
          <w:tcPr>
            <w:tcW w:w="1250" w:type="dxa"/>
          </w:tcPr>
          <w:p w14:paraId="12B0C818" w14:textId="77777777" w:rsidR="00A36F80" w:rsidRPr="007C7990" w:rsidRDefault="00000000">
            <w:pPr>
              <w:rPr>
                <w:sz w:val="18"/>
                <w:szCs w:val="18"/>
              </w:rPr>
            </w:pPr>
            <w:r w:rsidRPr="007C7990">
              <w:rPr>
                <w:color w:val="000000"/>
                <w:sz w:val="18"/>
                <w:szCs w:val="18"/>
              </w:rPr>
              <w:t>19.1±6.8 / 20.3±6.6</w:t>
            </w:r>
          </w:p>
        </w:tc>
        <w:tc>
          <w:tcPr>
            <w:tcW w:w="1500" w:type="dxa"/>
          </w:tcPr>
          <w:p w14:paraId="22F8EC08" w14:textId="77777777" w:rsidR="00A36F80" w:rsidRPr="007C7990" w:rsidRDefault="00000000">
            <w:pPr>
              <w:rPr>
                <w:sz w:val="18"/>
                <w:szCs w:val="18"/>
              </w:rPr>
            </w:pPr>
            <w:r w:rsidRPr="007C7990">
              <w:rPr>
                <w:color w:val="000000"/>
                <w:sz w:val="18"/>
                <w:szCs w:val="18"/>
              </w:rPr>
              <w:t>Continuous infusion</w:t>
            </w:r>
          </w:p>
        </w:tc>
        <w:tc>
          <w:tcPr>
            <w:tcW w:w="1350" w:type="dxa"/>
          </w:tcPr>
          <w:p w14:paraId="4283A1EF" w14:textId="77777777" w:rsidR="00A36F80" w:rsidRPr="007C7990" w:rsidRDefault="00000000">
            <w:pPr>
              <w:rPr>
                <w:sz w:val="18"/>
                <w:szCs w:val="18"/>
              </w:rPr>
            </w:pPr>
            <w:r w:rsidRPr="007C7990">
              <w:rPr>
                <w:color w:val="000000"/>
                <w:sz w:val="18"/>
                <w:szCs w:val="18"/>
              </w:rPr>
              <w:t>Median 3.2d after cannulation</w:t>
            </w:r>
          </w:p>
        </w:tc>
        <w:tc>
          <w:tcPr>
            <w:tcW w:w="1700" w:type="dxa"/>
          </w:tcPr>
          <w:p w14:paraId="4EE81C0C" w14:textId="77777777" w:rsidR="00A36F80" w:rsidRPr="007C7990" w:rsidRDefault="00000000">
            <w:pPr>
              <w:rPr>
                <w:sz w:val="18"/>
                <w:szCs w:val="18"/>
              </w:rPr>
            </w:pPr>
            <w:r w:rsidRPr="007C7990">
              <w:rPr>
                <w:color w:val="000000"/>
                <w:sz w:val="18"/>
                <w:szCs w:val="18"/>
              </w:rPr>
              <w:t>Mixed CS (surgical &amp; medical)</w:t>
            </w:r>
          </w:p>
        </w:tc>
      </w:tr>
    </w:tbl>
    <w:p w14:paraId="5498164C" w14:textId="77777777" w:rsidR="00A36F80" w:rsidRDefault="00A36F80"/>
    <w:p w14:paraId="699C427D" w14:textId="0F8A6B1C" w:rsidR="00A36F80" w:rsidRDefault="00000000">
      <w:pPr>
        <w:sectPr w:rsidR="00A36F80">
          <w:pgSz w:w="15840" w:h="12240" w:orient="landscape"/>
          <w:pgMar w:top="1440" w:right="1440" w:bottom="1440" w:left="1440" w:header="720" w:footer="720" w:gutter="0"/>
          <w:cols w:space="720"/>
          <w:docGrid w:linePitch="360"/>
        </w:sectPr>
      </w:pPr>
      <w:r>
        <w:rPr>
          <w:i/>
          <w:sz w:val="15"/>
        </w:rPr>
        <w:t xml:space="preserve">L, levosimendan; C, control; CS, cardiogenic shock; AMI, acute myocardial infarction; ECPR, extracorporeal cardiopulmonary resuscitation; PSM, propensity-score matching; LVEF, left ventricular ejection fraction; NR, not reported. All studies used veno-arterial ECMO. Values are mean ± SD or median (IQR) as reported. For propensity-score-matched studies, full enrolled cohorts are shown; matched-subgroup data were used </w:t>
      </w:r>
      <w:r>
        <w:rPr>
          <w:i/>
          <w:sz w:val="15"/>
        </w:rPr>
        <w:lastRenderedPageBreak/>
        <w:t xml:space="preserve">where specified in the pooled analyses. *Paulo 2025 N shown as pooled (47/47), pending verification. Distelmaier 2016 was included in the review but reported no outcome data in a poolable format and therefore contributes to no meta-analysis; 13 of the 14 included studies appear in the forest </w:t>
      </w:r>
      <w:proofErr w:type="spellStart"/>
      <w:r>
        <w:rPr>
          <w:i/>
          <w:sz w:val="15"/>
        </w:rPr>
        <w:t>plo</w:t>
      </w:r>
      <w:proofErr w:type="spellEnd"/>
    </w:p>
    <w:p w14:paraId="310B02E4" w14:textId="4298CDF5" w:rsidR="002E7899" w:rsidRDefault="002E7899" w:rsidP="00C43454">
      <w:pPr>
        <w:spacing w:after="160" w:line="259" w:lineRule="auto"/>
      </w:pPr>
    </w:p>
    <w:p w14:paraId="0E7AAFE9" w14:textId="385BE607" w:rsidR="00DF323C" w:rsidRPr="00C43454" w:rsidRDefault="00DF323C" w:rsidP="00DF323C">
      <w:pPr>
        <w:rPr>
          <w:b/>
          <w:bCs/>
          <w:sz w:val="28"/>
          <w:szCs w:val="28"/>
          <w:lang w:val="en" w:eastAsia="en-US"/>
        </w:rPr>
      </w:pPr>
      <w:r w:rsidRPr="00C43454">
        <w:rPr>
          <w:rFonts w:asciiTheme="minorHAnsi" w:hAnsiTheme="minorHAnsi"/>
          <w:b/>
          <w:bCs/>
          <w:sz w:val="28"/>
          <w:szCs w:val="28"/>
        </w:rPr>
        <w:t>Figure 3a</w:t>
      </w:r>
      <w:r w:rsidR="00C43454" w:rsidRPr="00C43454">
        <w:rPr>
          <w:rFonts w:asciiTheme="minorHAnsi" w:hAnsiTheme="minorHAnsi"/>
          <w:b/>
          <w:bCs/>
          <w:sz w:val="28"/>
          <w:szCs w:val="28"/>
        </w:rPr>
        <w:t>.</w:t>
      </w:r>
      <w:r w:rsidRPr="00C43454">
        <w:rPr>
          <w:rFonts w:asciiTheme="minorHAnsi" w:hAnsiTheme="minorHAnsi"/>
          <w:b/>
          <w:bCs/>
          <w:sz w:val="28"/>
          <w:szCs w:val="28"/>
        </w:rPr>
        <w:t xml:space="preserve"> </w:t>
      </w:r>
      <w:r w:rsidRPr="00C43454">
        <w:rPr>
          <w:rFonts w:asciiTheme="minorHAnsi" w:hAnsiTheme="minorHAnsi"/>
          <w:b/>
          <w:bCs/>
        </w:rPr>
        <w:t xml:space="preserve">Primary Outcome 1- All </w:t>
      </w:r>
      <w:r w:rsidR="00BB427B">
        <w:rPr>
          <w:rFonts w:asciiTheme="minorHAnsi" w:hAnsiTheme="minorHAnsi"/>
          <w:b/>
          <w:bCs/>
        </w:rPr>
        <w:t>C</w:t>
      </w:r>
      <w:r w:rsidRPr="00C43454">
        <w:rPr>
          <w:rFonts w:asciiTheme="minorHAnsi" w:hAnsiTheme="minorHAnsi"/>
          <w:b/>
          <w:bCs/>
        </w:rPr>
        <w:t xml:space="preserve">ause </w:t>
      </w:r>
      <w:r w:rsidR="00BB427B">
        <w:rPr>
          <w:rFonts w:asciiTheme="minorHAnsi" w:hAnsiTheme="minorHAnsi"/>
          <w:b/>
          <w:bCs/>
        </w:rPr>
        <w:t>M</w:t>
      </w:r>
      <w:r w:rsidRPr="00C43454">
        <w:rPr>
          <w:rFonts w:asciiTheme="minorHAnsi" w:hAnsiTheme="minorHAnsi"/>
          <w:b/>
          <w:bCs/>
        </w:rPr>
        <w:t>ortality</w:t>
      </w:r>
    </w:p>
    <w:p w14:paraId="13BB3146" w14:textId="77777777" w:rsidR="00DF323C" w:rsidRDefault="00DF323C" w:rsidP="00DF323C">
      <w:pPr>
        <w:rPr>
          <w:b/>
          <w:bCs/>
        </w:rPr>
      </w:pPr>
    </w:p>
    <w:p w14:paraId="0F5E03AE" w14:textId="77777777" w:rsidR="00DF323C" w:rsidRDefault="00DF323C" w:rsidP="00DF323C"/>
    <w:p w14:paraId="24BFD4FF" w14:textId="77777777" w:rsidR="00DF323C" w:rsidRDefault="00DF323C" w:rsidP="00DF323C"/>
    <w:p w14:paraId="6E5B099C" w14:textId="0E314650" w:rsidR="00DF323C" w:rsidRDefault="00B46EA2" w:rsidP="00DF323C">
      <w:pPr>
        <w:spacing w:after="120" w:line="480" w:lineRule="auto"/>
      </w:pPr>
      <w:r>
        <w:rPr>
          <w:noProof/>
        </w:rPr>
        <w:drawing>
          <wp:inline distT="0" distB="0" distL="114300" distR="114300" wp14:anchorId="13632F53" wp14:editId="2AAC0272">
            <wp:extent cx="6290995" cy="2414427"/>
            <wp:effectExtent l="0" t="0" r="0" b="0"/>
            <wp:docPr id="2122994196" name="Picture 212299419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94196" name="Picture 2122994196" descr="A screenshot of a graph&#10;&#10;Description automatically generated"/>
                    <pic:cNvPicPr>
                      <a:picLocks noChangeAspect="1"/>
                    </pic:cNvPicPr>
                  </pic:nvPicPr>
                  <pic:blipFill>
                    <a:blip r:embed="rId8"/>
                    <a:stretch>
                      <a:fillRect/>
                    </a:stretch>
                  </pic:blipFill>
                  <pic:spPr>
                    <a:xfrm>
                      <a:off x="0" y="0"/>
                      <a:ext cx="6305889" cy="2420143"/>
                    </a:xfrm>
                    <a:prstGeom prst="rect">
                      <a:avLst/>
                    </a:prstGeom>
                    <a:noFill/>
                    <a:ln>
                      <a:noFill/>
                    </a:ln>
                  </pic:spPr>
                </pic:pic>
              </a:graphicData>
            </a:graphic>
          </wp:inline>
        </w:drawing>
      </w:r>
    </w:p>
    <w:p w14:paraId="61C1776A" w14:textId="77777777" w:rsidR="00995FC0" w:rsidRDefault="00995FC0" w:rsidP="00995FC0">
      <w:pPr>
        <w:spacing w:before="60" w:after="200" w:line="259" w:lineRule="auto"/>
      </w:pPr>
      <w:r>
        <w:rPr>
          <w:rFonts w:asciiTheme="minorHAnsi" w:hAnsiTheme="minorHAnsi" w:cstheme="minorHAnsi"/>
          <w:i/>
          <w:sz w:val="20"/>
        </w:rPr>
        <w:t xml:space="preserve">Forest plot of early all-cause mortality (in-hospital or within 30 days) comparing </w:t>
      </w:r>
      <w:proofErr w:type="spellStart"/>
      <w:r>
        <w:rPr>
          <w:rFonts w:asciiTheme="minorHAnsi" w:hAnsiTheme="minorHAnsi" w:cstheme="minorHAnsi"/>
          <w:i/>
          <w:sz w:val="20"/>
        </w:rPr>
        <w:t>levosimendan</w:t>
      </w:r>
      <w:proofErr w:type="spellEnd"/>
      <w:r>
        <w:rPr>
          <w:rFonts w:asciiTheme="minorHAnsi" w:hAnsiTheme="minorHAnsi" w:cstheme="minorHAnsi"/>
          <w:i/>
          <w:sz w:val="20"/>
        </w:rPr>
        <w:t xml:space="preserve"> with control across eleven studies. </w:t>
      </w:r>
      <w:proofErr w:type="spellStart"/>
      <w:r>
        <w:rPr>
          <w:rFonts w:asciiTheme="minorHAnsi" w:hAnsiTheme="minorHAnsi" w:cstheme="minorHAnsi"/>
          <w:i/>
          <w:sz w:val="20"/>
        </w:rPr>
        <w:t>Levosimendan</w:t>
      </w:r>
      <w:proofErr w:type="spellEnd"/>
      <w:r>
        <w:rPr>
          <w:rFonts w:asciiTheme="minorHAnsi" w:hAnsiTheme="minorHAnsi" w:cstheme="minorHAnsi"/>
          <w:i/>
          <w:sz w:val="20"/>
        </w:rPr>
        <w:t xml:space="preserve"> was associated with lower mortality (risk ratio 0.86, 95% CI 0.74 to 0.99; P = 0.03), with minimal heterogeneity (I² = 3%).</w:t>
      </w:r>
    </w:p>
    <w:p w14:paraId="2E218CE4" w14:textId="77777777" w:rsidR="00995FC0" w:rsidRDefault="00995FC0">
      <w:pPr>
        <w:spacing w:after="60" w:line="480" w:lineRule="auto"/>
      </w:pPr>
    </w:p>
    <w:p w14:paraId="61A08A2D" w14:textId="77777777" w:rsidR="00995FC0" w:rsidRDefault="00995FC0">
      <w:pPr>
        <w:spacing w:after="60" w:line="480" w:lineRule="auto"/>
      </w:pPr>
    </w:p>
    <w:p w14:paraId="016D9E8A" w14:textId="77777777" w:rsidR="00995FC0" w:rsidRDefault="00995FC0">
      <w:pPr>
        <w:spacing w:after="60" w:line="480" w:lineRule="auto"/>
      </w:pPr>
    </w:p>
    <w:p w14:paraId="5767941B" w14:textId="77777777" w:rsidR="00995FC0" w:rsidRDefault="00995FC0">
      <w:pPr>
        <w:spacing w:after="60" w:line="480" w:lineRule="auto"/>
      </w:pPr>
    </w:p>
    <w:p w14:paraId="77FAAA2C" w14:textId="77777777" w:rsidR="00995FC0" w:rsidRDefault="00995FC0">
      <w:pPr>
        <w:spacing w:after="60" w:line="480" w:lineRule="auto"/>
      </w:pPr>
    </w:p>
    <w:p w14:paraId="6F5C3FEA" w14:textId="77777777" w:rsidR="00995FC0" w:rsidRDefault="00995FC0">
      <w:pPr>
        <w:spacing w:after="60" w:line="480" w:lineRule="auto"/>
      </w:pPr>
    </w:p>
    <w:p w14:paraId="2663CB93" w14:textId="77777777" w:rsidR="00995FC0" w:rsidRDefault="00995FC0">
      <w:pPr>
        <w:spacing w:after="60" w:line="480" w:lineRule="auto"/>
      </w:pPr>
    </w:p>
    <w:p w14:paraId="66D20531" w14:textId="77777777" w:rsidR="00995FC0" w:rsidRDefault="00995FC0">
      <w:pPr>
        <w:spacing w:after="60" w:line="480" w:lineRule="auto"/>
      </w:pPr>
    </w:p>
    <w:p w14:paraId="74947C88" w14:textId="77777777" w:rsidR="00995FC0" w:rsidRDefault="00995FC0">
      <w:pPr>
        <w:spacing w:after="60" w:line="480" w:lineRule="auto"/>
      </w:pPr>
    </w:p>
    <w:p w14:paraId="358C90BF" w14:textId="5935BB4D" w:rsidR="00A36F80" w:rsidRPr="00C43454" w:rsidRDefault="00000000">
      <w:pPr>
        <w:spacing w:after="60" w:line="480" w:lineRule="auto"/>
      </w:pPr>
      <w:r w:rsidRPr="00C43454">
        <w:rPr>
          <w:b/>
          <w:szCs w:val="28"/>
        </w:rPr>
        <w:lastRenderedPageBreak/>
        <w:t>Figure</w:t>
      </w:r>
      <w:r>
        <w:rPr>
          <w:b/>
          <w:sz w:val="22"/>
        </w:rPr>
        <w:t xml:space="preserve"> </w:t>
      </w:r>
      <w:r w:rsidRPr="00C43454">
        <w:rPr>
          <w:b/>
        </w:rPr>
        <w:t>3b</w:t>
      </w:r>
      <w:r w:rsidR="00C369A8">
        <w:rPr>
          <w:b/>
        </w:rPr>
        <w:t>.</w:t>
      </w:r>
      <w:r w:rsidRPr="00C43454">
        <w:rPr>
          <w:b/>
        </w:rPr>
        <w:t xml:space="preserve"> Primary Outcome 1 - All-</w:t>
      </w:r>
      <w:r w:rsidR="00BB427B">
        <w:rPr>
          <w:b/>
        </w:rPr>
        <w:t>C</w:t>
      </w:r>
      <w:r w:rsidRPr="00C43454">
        <w:rPr>
          <w:b/>
        </w:rPr>
        <w:t xml:space="preserve">ause </w:t>
      </w:r>
      <w:r w:rsidR="00BB427B">
        <w:rPr>
          <w:b/>
        </w:rPr>
        <w:t>M</w:t>
      </w:r>
      <w:r w:rsidRPr="00C43454">
        <w:rPr>
          <w:b/>
        </w:rPr>
        <w:t xml:space="preserve">ortality, </w:t>
      </w:r>
      <w:r w:rsidR="00BB427B">
        <w:rPr>
          <w:b/>
        </w:rPr>
        <w:t>S</w:t>
      </w:r>
      <w:r w:rsidRPr="00C43454">
        <w:rPr>
          <w:b/>
        </w:rPr>
        <w:t xml:space="preserve">ubgroup </w:t>
      </w:r>
      <w:r w:rsidR="00BB427B">
        <w:rPr>
          <w:b/>
        </w:rPr>
        <w:t>A</w:t>
      </w:r>
      <w:r w:rsidRPr="00C43454">
        <w:rPr>
          <w:b/>
        </w:rPr>
        <w:t xml:space="preserve">nalysis by </w:t>
      </w:r>
      <w:r w:rsidR="00BB427B">
        <w:rPr>
          <w:b/>
        </w:rPr>
        <w:t>S</w:t>
      </w:r>
      <w:r w:rsidRPr="00C43454">
        <w:rPr>
          <w:b/>
        </w:rPr>
        <w:t xml:space="preserve">tudy </w:t>
      </w:r>
      <w:r w:rsidR="00BB427B">
        <w:rPr>
          <w:b/>
        </w:rPr>
        <w:t>D</w:t>
      </w:r>
      <w:r w:rsidRPr="00C43454">
        <w:rPr>
          <w:b/>
        </w:rPr>
        <w:t>esign</w:t>
      </w:r>
    </w:p>
    <w:p w14:paraId="39800785" w14:textId="48A08FE3" w:rsidR="00995FC0" w:rsidRDefault="00B46EA2" w:rsidP="00C369A8">
      <w:pPr>
        <w:spacing w:after="120" w:line="480" w:lineRule="auto"/>
        <w:rPr>
          <w:rFonts w:asciiTheme="minorHAnsi" w:hAnsiTheme="minorHAnsi" w:cstheme="minorHAnsi"/>
          <w:b/>
          <w:bCs/>
        </w:rPr>
      </w:pPr>
      <w:r>
        <w:rPr>
          <w:noProof/>
        </w:rPr>
        <w:drawing>
          <wp:inline distT="0" distB="0" distL="114300" distR="114300" wp14:anchorId="52BCD0C7" wp14:editId="29C31DB7">
            <wp:extent cx="6041204" cy="3661535"/>
            <wp:effectExtent l="0" t="0" r="4445" b="0"/>
            <wp:docPr id="1685147216" name="Picture 168514721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47216" name="Picture 1685147216" descr="A screenshot of a graph&#10;&#10;Description automatically generated"/>
                    <pic:cNvPicPr>
                      <a:picLocks noChangeAspect="1"/>
                    </pic:cNvPicPr>
                  </pic:nvPicPr>
                  <pic:blipFill>
                    <a:blip r:embed="rId9"/>
                    <a:stretch>
                      <a:fillRect/>
                    </a:stretch>
                  </pic:blipFill>
                  <pic:spPr>
                    <a:xfrm>
                      <a:off x="0" y="0"/>
                      <a:ext cx="6055925" cy="3670457"/>
                    </a:xfrm>
                    <a:prstGeom prst="rect">
                      <a:avLst/>
                    </a:prstGeom>
                    <a:noFill/>
                    <a:ln>
                      <a:noFill/>
                    </a:ln>
                  </pic:spPr>
                </pic:pic>
              </a:graphicData>
            </a:graphic>
          </wp:inline>
        </w:drawing>
      </w:r>
    </w:p>
    <w:p w14:paraId="7FAD57CC" w14:textId="77777777" w:rsidR="00995FC0" w:rsidRDefault="00995FC0" w:rsidP="00995FC0">
      <w:pPr>
        <w:spacing w:before="60" w:after="200" w:line="259" w:lineRule="auto"/>
      </w:pPr>
      <w:r>
        <w:rPr>
          <w:rFonts w:asciiTheme="minorHAnsi" w:hAnsiTheme="minorHAnsi" w:cstheme="minorHAnsi"/>
          <w:i/>
          <w:sz w:val="20"/>
        </w:rPr>
        <w:t>Forest plot of early all-cause mortality stratified by study design. The point estimate was similar in the two randomised trials (RR 0.85, 95% CI 0.40 to 1.79; I² = 61%) and the nine observational studies (RR 0.85, 95% CI 0.73 to 0.98; I² = 0%), with no significant difference between subgroups (P = 1.00); statistical significance was reached only in the observational stratum.</w:t>
      </w:r>
    </w:p>
    <w:p w14:paraId="53A1B243" w14:textId="1F9BDD28" w:rsidR="000F69BE" w:rsidRPr="00C369A8" w:rsidRDefault="000F69BE" w:rsidP="00C369A8">
      <w:pPr>
        <w:spacing w:after="120" w:line="480" w:lineRule="auto"/>
      </w:pPr>
      <w:r>
        <w:rPr>
          <w:rFonts w:asciiTheme="minorHAnsi" w:hAnsiTheme="minorHAnsi" w:cstheme="minorHAnsi"/>
          <w:b/>
          <w:bCs/>
        </w:rPr>
        <w:br w:type="page"/>
      </w:r>
    </w:p>
    <w:p w14:paraId="7D40924C" w14:textId="049D9F9E" w:rsidR="007547E5" w:rsidRDefault="007547E5" w:rsidP="007547E5">
      <w:pPr>
        <w:spacing w:after="120" w:line="480" w:lineRule="auto"/>
        <w:rPr>
          <w:rFonts w:asciiTheme="minorHAnsi" w:hAnsiTheme="minorHAnsi" w:cstheme="minorHAnsi"/>
          <w:color w:val="000000"/>
        </w:rPr>
      </w:pPr>
      <w:r>
        <w:rPr>
          <w:rFonts w:asciiTheme="minorHAnsi" w:hAnsiTheme="minorHAnsi" w:cstheme="minorHAnsi"/>
          <w:b/>
          <w:bCs/>
        </w:rPr>
        <w:lastRenderedPageBreak/>
        <w:t>Figure 4</w:t>
      </w:r>
      <w:r w:rsidR="00C43454">
        <w:rPr>
          <w:rFonts w:asciiTheme="minorHAnsi" w:hAnsiTheme="minorHAnsi" w:cstheme="minorHAnsi"/>
          <w:b/>
          <w:bCs/>
        </w:rPr>
        <w:t xml:space="preserve">a. </w:t>
      </w:r>
      <w:r w:rsidRPr="00C77948">
        <w:rPr>
          <w:rFonts w:asciiTheme="minorHAnsi" w:hAnsiTheme="minorHAnsi" w:cstheme="minorHAnsi"/>
          <w:b/>
          <w:bCs/>
        </w:rPr>
        <w:t xml:space="preserve">Primary </w:t>
      </w:r>
      <w:r w:rsidR="0082547F">
        <w:rPr>
          <w:rFonts w:asciiTheme="minorHAnsi" w:hAnsiTheme="minorHAnsi" w:cstheme="minorHAnsi"/>
          <w:b/>
          <w:bCs/>
        </w:rPr>
        <w:t>O</w:t>
      </w:r>
      <w:r w:rsidRPr="00C77948">
        <w:rPr>
          <w:rFonts w:asciiTheme="minorHAnsi" w:hAnsiTheme="minorHAnsi" w:cstheme="minorHAnsi"/>
          <w:b/>
          <w:bCs/>
        </w:rPr>
        <w:t>utcome 2</w:t>
      </w:r>
      <w:r w:rsidR="00BB427B">
        <w:rPr>
          <w:rFonts w:asciiTheme="minorHAnsi" w:hAnsiTheme="minorHAnsi" w:cstheme="minorHAnsi"/>
          <w:b/>
          <w:bCs/>
        </w:rPr>
        <w:t xml:space="preserve"> </w:t>
      </w:r>
      <w:r w:rsidRPr="00C77948">
        <w:rPr>
          <w:rFonts w:asciiTheme="minorHAnsi" w:hAnsiTheme="minorHAnsi" w:cstheme="minorHAnsi"/>
          <w:b/>
          <w:bCs/>
        </w:rPr>
        <w:t xml:space="preserve">- </w:t>
      </w:r>
      <w:r w:rsidR="00BB427B">
        <w:rPr>
          <w:rFonts w:asciiTheme="minorHAnsi" w:hAnsiTheme="minorHAnsi" w:cstheme="minorHAnsi"/>
          <w:b/>
          <w:bCs/>
          <w:color w:val="000000"/>
        </w:rPr>
        <w:t>S</w:t>
      </w:r>
      <w:r w:rsidRPr="00C77948">
        <w:rPr>
          <w:rFonts w:asciiTheme="minorHAnsi" w:hAnsiTheme="minorHAnsi" w:cstheme="minorHAnsi"/>
          <w:b/>
          <w:bCs/>
          <w:color w:val="000000"/>
        </w:rPr>
        <w:t xml:space="preserve">uccessful </w:t>
      </w:r>
      <w:r w:rsidR="00BB427B">
        <w:rPr>
          <w:rFonts w:asciiTheme="minorHAnsi" w:hAnsiTheme="minorHAnsi" w:cstheme="minorHAnsi"/>
          <w:b/>
          <w:bCs/>
          <w:color w:val="000000"/>
        </w:rPr>
        <w:t>W</w:t>
      </w:r>
      <w:r w:rsidRPr="00C77948">
        <w:rPr>
          <w:rFonts w:asciiTheme="minorHAnsi" w:hAnsiTheme="minorHAnsi" w:cstheme="minorHAnsi"/>
          <w:b/>
          <w:bCs/>
          <w:color w:val="000000"/>
        </w:rPr>
        <w:t xml:space="preserve">eaning from </w:t>
      </w:r>
      <w:r w:rsidR="00BB427B">
        <w:rPr>
          <w:rFonts w:asciiTheme="minorHAnsi" w:hAnsiTheme="minorHAnsi" w:cstheme="minorHAnsi"/>
          <w:b/>
          <w:bCs/>
          <w:color w:val="000000"/>
        </w:rPr>
        <w:t>M</w:t>
      </w:r>
      <w:r w:rsidRPr="00C77948">
        <w:rPr>
          <w:rFonts w:asciiTheme="minorHAnsi" w:hAnsiTheme="minorHAnsi" w:cstheme="minorHAnsi"/>
          <w:b/>
          <w:bCs/>
          <w:color w:val="000000"/>
        </w:rPr>
        <w:t xml:space="preserve">echanical </w:t>
      </w:r>
      <w:r w:rsidR="00BB427B">
        <w:rPr>
          <w:rFonts w:asciiTheme="minorHAnsi" w:hAnsiTheme="minorHAnsi" w:cstheme="minorHAnsi"/>
          <w:b/>
          <w:bCs/>
          <w:color w:val="000000"/>
        </w:rPr>
        <w:t>C</w:t>
      </w:r>
      <w:r w:rsidRPr="00C77948">
        <w:rPr>
          <w:rFonts w:asciiTheme="minorHAnsi" w:hAnsiTheme="minorHAnsi" w:cstheme="minorHAnsi"/>
          <w:b/>
          <w:bCs/>
          <w:color w:val="000000"/>
        </w:rPr>
        <w:t xml:space="preserve">irculatory </w:t>
      </w:r>
      <w:r w:rsidR="00BB427B">
        <w:rPr>
          <w:rFonts w:asciiTheme="minorHAnsi" w:hAnsiTheme="minorHAnsi" w:cstheme="minorHAnsi"/>
          <w:b/>
          <w:bCs/>
          <w:color w:val="000000"/>
        </w:rPr>
        <w:t>S</w:t>
      </w:r>
      <w:r w:rsidRPr="00C77948">
        <w:rPr>
          <w:rFonts w:asciiTheme="minorHAnsi" w:hAnsiTheme="minorHAnsi" w:cstheme="minorHAnsi"/>
          <w:b/>
          <w:bCs/>
          <w:color w:val="000000"/>
        </w:rPr>
        <w:t>upport</w:t>
      </w:r>
    </w:p>
    <w:p w14:paraId="51DFF994" w14:textId="74C25D15" w:rsidR="00C77948" w:rsidRDefault="00C77948" w:rsidP="007547E5">
      <w:pPr>
        <w:spacing w:after="120" w:line="480" w:lineRule="auto"/>
        <w:rPr>
          <w:rFonts w:asciiTheme="minorHAnsi" w:hAnsiTheme="minorHAnsi" w:cstheme="minorHAnsi"/>
          <w:color w:val="000000"/>
        </w:rPr>
      </w:pPr>
      <w:r w:rsidRPr="00A36C24">
        <w:rPr>
          <w:noProof/>
        </w:rPr>
        <w:drawing>
          <wp:inline distT="0" distB="0" distL="0" distR="0" wp14:anchorId="2CB51C2F" wp14:editId="67E7CF31">
            <wp:extent cx="5943600" cy="2466975"/>
            <wp:effectExtent l="0" t="0" r="0" b="0"/>
            <wp:docPr id="161771535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15356" name="Picture 1" descr="A screenshot of a graph&#10;&#10;Description automatically generated"/>
                    <pic:cNvPicPr/>
                  </pic:nvPicPr>
                  <pic:blipFill>
                    <a:blip r:embed="rId10"/>
                    <a:stretch>
                      <a:fillRect/>
                    </a:stretch>
                  </pic:blipFill>
                  <pic:spPr>
                    <a:xfrm>
                      <a:off x="0" y="0"/>
                      <a:ext cx="5943600" cy="2466975"/>
                    </a:xfrm>
                    <a:prstGeom prst="rect">
                      <a:avLst/>
                    </a:prstGeom>
                  </pic:spPr>
                </pic:pic>
              </a:graphicData>
            </a:graphic>
          </wp:inline>
        </w:drawing>
      </w:r>
    </w:p>
    <w:p w14:paraId="76072EF4" w14:textId="77777777" w:rsidR="00995FC0" w:rsidRDefault="00995FC0" w:rsidP="00995FC0">
      <w:pPr>
        <w:spacing w:before="60" w:after="200" w:line="259" w:lineRule="auto"/>
      </w:pPr>
      <w:r>
        <w:rPr>
          <w:rFonts w:asciiTheme="minorHAnsi" w:hAnsiTheme="minorHAnsi" w:cstheme="minorHAnsi"/>
          <w:i/>
          <w:sz w:val="20"/>
        </w:rPr>
        <w:t xml:space="preserve">Forest plot of successful weaning from mechanical circulatory support across twelve studies. Weaning was more likely with </w:t>
      </w:r>
      <w:proofErr w:type="spellStart"/>
      <w:r>
        <w:rPr>
          <w:rFonts w:asciiTheme="minorHAnsi" w:hAnsiTheme="minorHAnsi" w:cstheme="minorHAnsi"/>
          <w:i/>
          <w:sz w:val="20"/>
        </w:rPr>
        <w:t>levosimendan</w:t>
      </w:r>
      <w:proofErr w:type="spellEnd"/>
      <w:r>
        <w:rPr>
          <w:rFonts w:asciiTheme="minorHAnsi" w:hAnsiTheme="minorHAnsi" w:cstheme="minorHAnsi"/>
          <w:i/>
          <w:sz w:val="20"/>
        </w:rPr>
        <w:t xml:space="preserve"> (RR 1.30, 95% CI 1.14 to 1.48; P = 0.0001), with moderate heterogeneity (I² = 59%).</w:t>
      </w:r>
    </w:p>
    <w:p w14:paraId="745C2C87" w14:textId="77777777" w:rsidR="00C77948" w:rsidRDefault="00C77948" w:rsidP="007547E5">
      <w:pPr>
        <w:spacing w:after="120" w:line="480" w:lineRule="auto"/>
        <w:rPr>
          <w:rFonts w:asciiTheme="minorHAnsi" w:hAnsiTheme="minorHAnsi" w:cstheme="minorHAnsi"/>
          <w:color w:val="000000"/>
        </w:rPr>
      </w:pPr>
    </w:p>
    <w:p w14:paraId="1E24C755" w14:textId="77777777" w:rsidR="00C77948" w:rsidRDefault="00C77948" w:rsidP="007547E5">
      <w:pPr>
        <w:spacing w:after="120" w:line="480" w:lineRule="auto"/>
        <w:rPr>
          <w:rFonts w:asciiTheme="minorHAnsi" w:hAnsiTheme="minorHAnsi" w:cstheme="minorHAnsi"/>
          <w:color w:val="000000"/>
        </w:rPr>
      </w:pPr>
    </w:p>
    <w:p w14:paraId="08B45657" w14:textId="77777777" w:rsidR="00C77948" w:rsidRDefault="00C77948" w:rsidP="007547E5">
      <w:pPr>
        <w:spacing w:after="120" w:line="480" w:lineRule="auto"/>
        <w:rPr>
          <w:rFonts w:asciiTheme="minorHAnsi" w:hAnsiTheme="minorHAnsi" w:cstheme="minorHAnsi"/>
          <w:color w:val="000000"/>
        </w:rPr>
      </w:pPr>
    </w:p>
    <w:p w14:paraId="6A2DF38C" w14:textId="77777777" w:rsidR="00C77948" w:rsidRDefault="00C77948" w:rsidP="007547E5">
      <w:pPr>
        <w:spacing w:after="120" w:line="480" w:lineRule="auto"/>
        <w:rPr>
          <w:rFonts w:asciiTheme="minorHAnsi" w:hAnsiTheme="minorHAnsi" w:cstheme="minorHAnsi"/>
          <w:color w:val="000000"/>
        </w:rPr>
      </w:pPr>
    </w:p>
    <w:p w14:paraId="15C2F86A" w14:textId="77777777" w:rsidR="00C77948" w:rsidRDefault="00C77948" w:rsidP="007547E5">
      <w:pPr>
        <w:spacing w:after="120" w:line="480" w:lineRule="auto"/>
        <w:rPr>
          <w:rFonts w:asciiTheme="minorHAnsi" w:hAnsiTheme="minorHAnsi" w:cstheme="minorHAnsi"/>
          <w:color w:val="000000"/>
        </w:rPr>
      </w:pPr>
    </w:p>
    <w:p w14:paraId="43BC98C0" w14:textId="77777777" w:rsidR="00C77948" w:rsidRDefault="00C77948" w:rsidP="007547E5">
      <w:pPr>
        <w:spacing w:after="120" w:line="480" w:lineRule="auto"/>
        <w:rPr>
          <w:rFonts w:asciiTheme="minorHAnsi" w:hAnsiTheme="minorHAnsi" w:cstheme="minorHAnsi"/>
          <w:color w:val="000000"/>
        </w:rPr>
      </w:pPr>
    </w:p>
    <w:p w14:paraId="7B0D832E" w14:textId="77777777" w:rsidR="00C77948" w:rsidRDefault="00C77948" w:rsidP="007547E5">
      <w:pPr>
        <w:spacing w:after="120" w:line="480" w:lineRule="auto"/>
        <w:rPr>
          <w:rFonts w:asciiTheme="minorHAnsi" w:hAnsiTheme="minorHAnsi" w:cstheme="minorHAnsi"/>
          <w:color w:val="000000"/>
        </w:rPr>
      </w:pPr>
    </w:p>
    <w:p w14:paraId="361979D9" w14:textId="77777777" w:rsidR="00C77948" w:rsidRDefault="00C77948" w:rsidP="007547E5">
      <w:pPr>
        <w:spacing w:after="120" w:line="480" w:lineRule="auto"/>
        <w:rPr>
          <w:rFonts w:asciiTheme="minorHAnsi" w:hAnsiTheme="minorHAnsi" w:cstheme="minorHAnsi"/>
          <w:color w:val="000000"/>
        </w:rPr>
      </w:pPr>
    </w:p>
    <w:p w14:paraId="42DFC234" w14:textId="77777777" w:rsidR="00C77948" w:rsidRDefault="00C77948" w:rsidP="007547E5">
      <w:pPr>
        <w:spacing w:after="120" w:line="480" w:lineRule="auto"/>
        <w:rPr>
          <w:rFonts w:asciiTheme="minorHAnsi" w:hAnsiTheme="minorHAnsi" w:cstheme="minorHAnsi"/>
          <w:color w:val="000000"/>
        </w:rPr>
      </w:pPr>
    </w:p>
    <w:p w14:paraId="747C5702" w14:textId="77777777" w:rsidR="00C77948" w:rsidRDefault="00C77948" w:rsidP="007547E5">
      <w:pPr>
        <w:spacing w:after="120" w:line="480" w:lineRule="auto"/>
        <w:rPr>
          <w:rFonts w:asciiTheme="minorHAnsi" w:hAnsiTheme="minorHAnsi" w:cstheme="minorHAnsi"/>
          <w:color w:val="000000"/>
        </w:rPr>
      </w:pPr>
    </w:p>
    <w:p w14:paraId="1665105B" w14:textId="77777777" w:rsidR="00C77948" w:rsidRDefault="00C77948" w:rsidP="007547E5">
      <w:pPr>
        <w:spacing w:after="120" w:line="480" w:lineRule="auto"/>
        <w:rPr>
          <w:rFonts w:asciiTheme="minorHAnsi" w:hAnsiTheme="minorHAnsi" w:cstheme="minorHAnsi"/>
          <w:color w:val="000000"/>
        </w:rPr>
      </w:pPr>
    </w:p>
    <w:p w14:paraId="415AF8FC" w14:textId="0478DC2F" w:rsidR="00C43454" w:rsidRDefault="00C43454" w:rsidP="007547E5">
      <w:pPr>
        <w:spacing w:after="120" w:line="480" w:lineRule="auto"/>
        <w:rPr>
          <w:b/>
          <w:bCs/>
        </w:rPr>
      </w:pPr>
      <w:r w:rsidRPr="00C43454">
        <w:rPr>
          <w:rFonts w:asciiTheme="minorHAnsi" w:hAnsiTheme="minorHAnsi" w:cstheme="minorHAnsi"/>
          <w:b/>
          <w:bCs/>
        </w:rPr>
        <w:t xml:space="preserve">Figure 4b. Primary </w:t>
      </w:r>
      <w:r w:rsidR="00C77948">
        <w:rPr>
          <w:rFonts w:asciiTheme="minorHAnsi" w:hAnsiTheme="minorHAnsi" w:cstheme="minorHAnsi"/>
          <w:b/>
          <w:bCs/>
        </w:rPr>
        <w:t>O</w:t>
      </w:r>
      <w:r w:rsidRPr="00C43454">
        <w:rPr>
          <w:rFonts w:asciiTheme="minorHAnsi" w:hAnsiTheme="minorHAnsi" w:cstheme="minorHAnsi"/>
          <w:b/>
          <w:bCs/>
        </w:rPr>
        <w:t xml:space="preserve">utcome 2- </w:t>
      </w:r>
      <w:r w:rsidR="0082547F">
        <w:rPr>
          <w:rFonts w:asciiTheme="minorHAnsi" w:hAnsiTheme="minorHAnsi" w:cstheme="minorHAnsi"/>
          <w:b/>
          <w:bCs/>
          <w:color w:val="000000"/>
        </w:rPr>
        <w:t>S</w:t>
      </w:r>
      <w:r w:rsidRPr="00C43454">
        <w:rPr>
          <w:rFonts w:asciiTheme="minorHAnsi" w:hAnsiTheme="minorHAnsi" w:cstheme="minorHAnsi"/>
          <w:b/>
          <w:bCs/>
          <w:color w:val="000000"/>
        </w:rPr>
        <w:t xml:space="preserve">uccessful </w:t>
      </w:r>
      <w:r w:rsidR="0082547F">
        <w:rPr>
          <w:rFonts w:asciiTheme="minorHAnsi" w:hAnsiTheme="minorHAnsi" w:cstheme="minorHAnsi"/>
          <w:b/>
          <w:bCs/>
          <w:color w:val="000000"/>
        </w:rPr>
        <w:t>W</w:t>
      </w:r>
      <w:r w:rsidRPr="00C43454">
        <w:rPr>
          <w:rFonts w:asciiTheme="minorHAnsi" w:hAnsiTheme="minorHAnsi" w:cstheme="minorHAnsi"/>
          <w:b/>
          <w:bCs/>
          <w:color w:val="000000"/>
        </w:rPr>
        <w:t xml:space="preserve">eaning from </w:t>
      </w:r>
      <w:r w:rsidR="0082547F">
        <w:rPr>
          <w:rFonts w:asciiTheme="minorHAnsi" w:hAnsiTheme="minorHAnsi" w:cstheme="minorHAnsi"/>
          <w:b/>
          <w:bCs/>
          <w:color w:val="000000"/>
        </w:rPr>
        <w:t>M</w:t>
      </w:r>
      <w:r w:rsidRPr="00C43454">
        <w:rPr>
          <w:rFonts w:asciiTheme="minorHAnsi" w:hAnsiTheme="minorHAnsi" w:cstheme="minorHAnsi"/>
          <w:b/>
          <w:bCs/>
          <w:color w:val="000000"/>
        </w:rPr>
        <w:t xml:space="preserve">echanical </w:t>
      </w:r>
      <w:r w:rsidR="0082547F">
        <w:rPr>
          <w:rFonts w:asciiTheme="minorHAnsi" w:hAnsiTheme="minorHAnsi" w:cstheme="minorHAnsi"/>
          <w:b/>
          <w:bCs/>
          <w:color w:val="000000"/>
        </w:rPr>
        <w:t>C</w:t>
      </w:r>
      <w:r w:rsidRPr="00C43454">
        <w:rPr>
          <w:rFonts w:asciiTheme="minorHAnsi" w:hAnsiTheme="minorHAnsi" w:cstheme="minorHAnsi"/>
          <w:b/>
          <w:bCs/>
          <w:color w:val="000000"/>
        </w:rPr>
        <w:t xml:space="preserve">irculatory </w:t>
      </w:r>
      <w:r w:rsidR="0082547F">
        <w:rPr>
          <w:rFonts w:asciiTheme="minorHAnsi" w:hAnsiTheme="minorHAnsi" w:cstheme="minorHAnsi"/>
          <w:b/>
          <w:bCs/>
          <w:color w:val="000000"/>
        </w:rPr>
        <w:t>S</w:t>
      </w:r>
      <w:r w:rsidRPr="00C43454">
        <w:rPr>
          <w:rFonts w:asciiTheme="minorHAnsi" w:hAnsiTheme="minorHAnsi" w:cstheme="minorHAnsi"/>
          <w:b/>
          <w:bCs/>
          <w:color w:val="000000"/>
        </w:rPr>
        <w:t xml:space="preserve">upport </w:t>
      </w:r>
      <w:r w:rsidR="0082547F">
        <w:rPr>
          <w:b/>
          <w:bCs/>
        </w:rPr>
        <w:t>S</w:t>
      </w:r>
      <w:r w:rsidRPr="00C43454">
        <w:rPr>
          <w:b/>
          <w:bCs/>
        </w:rPr>
        <w:t xml:space="preserve">ubgroup </w:t>
      </w:r>
      <w:r w:rsidR="0082547F">
        <w:rPr>
          <w:b/>
          <w:bCs/>
        </w:rPr>
        <w:t>A</w:t>
      </w:r>
      <w:r w:rsidRPr="00C43454">
        <w:rPr>
          <w:b/>
          <w:bCs/>
        </w:rPr>
        <w:t xml:space="preserve">nalysis by </w:t>
      </w:r>
      <w:r w:rsidR="0082547F">
        <w:rPr>
          <w:b/>
          <w:bCs/>
        </w:rPr>
        <w:t>S</w:t>
      </w:r>
      <w:r w:rsidRPr="00C43454">
        <w:rPr>
          <w:b/>
          <w:bCs/>
        </w:rPr>
        <w:t xml:space="preserve">tudy </w:t>
      </w:r>
      <w:r w:rsidR="0082547F">
        <w:rPr>
          <w:b/>
          <w:bCs/>
        </w:rPr>
        <w:t>D</w:t>
      </w:r>
      <w:r w:rsidRPr="00C43454">
        <w:rPr>
          <w:b/>
          <w:bCs/>
        </w:rPr>
        <w:t>esign</w:t>
      </w:r>
    </w:p>
    <w:p w14:paraId="71E33920" w14:textId="77777777" w:rsidR="00C43454" w:rsidRDefault="00C43454" w:rsidP="007547E5">
      <w:pPr>
        <w:spacing w:after="120" w:line="480" w:lineRule="auto"/>
        <w:rPr>
          <w:b/>
          <w:bCs/>
        </w:rPr>
      </w:pPr>
    </w:p>
    <w:p w14:paraId="4847D681" w14:textId="646B8365" w:rsidR="00C43454" w:rsidRDefault="00C77948" w:rsidP="007547E5">
      <w:pPr>
        <w:spacing w:after="120" w:line="480" w:lineRule="auto"/>
        <w:rPr>
          <w:b/>
          <w:bCs/>
        </w:rPr>
      </w:pPr>
      <w:r w:rsidRPr="001D0456">
        <w:rPr>
          <w:noProof/>
        </w:rPr>
        <w:drawing>
          <wp:inline distT="0" distB="0" distL="0" distR="0" wp14:anchorId="0B9CB57A" wp14:editId="4B3D9BFE">
            <wp:extent cx="5943600" cy="3823335"/>
            <wp:effectExtent l="0" t="0" r="0" b="0"/>
            <wp:docPr id="1698569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69742" name=""/>
                    <pic:cNvPicPr/>
                  </pic:nvPicPr>
                  <pic:blipFill>
                    <a:blip r:embed="rId11"/>
                    <a:stretch>
                      <a:fillRect/>
                    </a:stretch>
                  </pic:blipFill>
                  <pic:spPr>
                    <a:xfrm>
                      <a:off x="0" y="0"/>
                      <a:ext cx="5943600" cy="3823335"/>
                    </a:xfrm>
                    <a:prstGeom prst="rect">
                      <a:avLst/>
                    </a:prstGeom>
                  </pic:spPr>
                </pic:pic>
              </a:graphicData>
            </a:graphic>
          </wp:inline>
        </w:drawing>
      </w:r>
    </w:p>
    <w:p w14:paraId="53B717D5" w14:textId="77777777" w:rsidR="00995FC0" w:rsidRDefault="00995FC0" w:rsidP="00995FC0">
      <w:pPr>
        <w:spacing w:before="60" w:after="200" w:line="259" w:lineRule="auto"/>
      </w:pPr>
      <w:r>
        <w:rPr>
          <w:rFonts w:asciiTheme="minorHAnsi" w:hAnsiTheme="minorHAnsi" w:cstheme="minorHAnsi"/>
          <w:i/>
          <w:sz w:val="20"/>
        </w:rPr>
        <w:t xml:space="preserve">Forest plot of successful weaning stratified by study design. The benefit was confined to the ten observational studies (RR 1.40, 95% CI 1.24 to 1.57; I² = 31%), whereas the two randomised trials showed no effect (RR 1.00, 95% CI 0.86 to 1.16; I² = 0%); the test for subgroup difference was significant (χ² = 11.80, </w:t>
      </w:r>
      <w:proofErr w:type="spellStart"/>
      <w:r>
        <w:rPr>
          <w:rFonts w:asciiTheme="minorHAnsi" w:hAnsiTheme="minorHAnsi" w:cstheme="minorHAnsi"/>
          <w:i/>
          <w:sz w:val="20"/>
        </w:rPr>
        <w:t>df</w:t>
      </w:r>
      <w:proofErr w:type="spellEnd"/>
      <w:r>
        <w:rPr>
          <w:rFonts w:asciiTheme="minorHAnsi" w:hAnsiTheme="minorHAnsi" w:cstheme="minorHAnsi"/>
          <w:i/>
          <w:sz w:val="20"/>
        </w:rPr>
        <w:t xml:space="preserve"> = 1, P = 0.0006).</w:t>
      </w:r>
    </w:p>
    <w:p w14:paraId="2FCF6A0A" w14:textId="77777777" w:rsidR="00C43454" w:rsidRDefault="00C43454" w:rsidP="007547E5">
      <w:pPr>
        <w:spacing w:after="120" w:line="480" w:lineRule="auto"/>
        <w:rPr>
          <w:b/>
          <w:bCs/>
        </w:rPr>
      </w:pPr>
    </w:p>
    <w:p w14:paraId="4E8B4674" w14:textId="77777777" w:rsidR="00C43454" w:rsidRDefault="00C43454" w:rsidP="007547E5">
      <w:pPr>
        <w:spacing w:after="120" w:line="480" w:lineRule="auto"/>
        <w:rPr>
          <w:b/>
          <w:bCs/>
        </w:rPr>
      </w:pPr>
    </w:p>
    <w:p w14:paraId="287F44CD" w14:textId="77777777" w:rsidR="00C43454" w:rsidRDefault="00C43454" w:rsidP="007547E5">
      <w:pPr>
        <w:spacing w:after="120" w:line="480" w:lineRule="auto"/>
        <w:rPr>
          <w:b/>
          <w:bCs/>
        </w:rPr>
      </w:pPr>
    </w:p>
    <w:p w14:paraId="174D6A70" w14:textId="39A2D9C5" w:rsidR="00C77948" w:rsidRDefault="00C77948" w:rsidP="00C77948">
      <w:pPr>
        <w:pStyle w:val="Heading1"/>
        <w:rPr>
          <w:rStyle w:val="BookTitle"/>
          <w:rFonts w:asciiTheme="minorHAnsi" w:hAnsiTheme="minorHAnsi" w:cstheme="minorHAnsi"/>
          <w:i w:val="0"/>
          <w:iCs w:val="0"/>
          <w:spacing w:val="0"/>
          <w:sz w:val="24"/>
          <w:szCs w:val="24"/>
        </w:rPr>
      </w:pPr>
      <w:r w:rsidRPr="00C77948">
        <w:rPr>
          <w:rFonts w:asciiTheme="minorHAnsi" w:hAnsiTheme="minorHAnsi" w:cstheme="minorHAnsi"/>
          <w:sz w:val="24"/>
          <w:szCs w:val="24"/>
        </w:rPr>
        <w:lastRenderedPageBreak/>
        <w:t>Figure 5</w:t>
      </w:r>
      <w:r w:rsidR="00313F16">
        <w:rPr>
          <w:rFonts w:asciiTheme="minorHAnsi" w:hAnsiTheme="minorHAnsi" w:cstheme="minorHAnsi"/>
          <w:sz w:val="24"/>
          <w:szCs w:val="24"/>
        </w:rPr>
        <w:t>.</w:t>
      </w:r>
      <w:r w:rsidRPr="00C77948">
        <w:rPr>
          <w:rFonts w:asciiTheme="minorHAnsi" w:hAnsiTheme="minorHAnsi" w:cstheme="minorHAnsi"/>
          <w:sz w:val="24"/>
          <w:szCs w:val="24"/>
        </w:rPr>
        <w:t xml:space="preserve"> Secondary </w:t>
      </w:r>
      <w:r>
        <w:rPr>
          <w:rFonts w:asciiTheme="minorHAnsi" w:hAnsiTheme="minorHAnsi" w:cstheme="minorHAnsi"/>
          <w:sz w:val="24"/>
          <w:szCs w:val="24"/>
        </w:rPr>
        <w:t>O</w:t>
      </w:r>
      <w:r w:rsidRPr="00C77948">
        <w:rPr>
          <w:rFonts w:asciiTheme="minorHAnsi" w:hAnsiTheme="minorHAnsi" w:cstheme="minorHAnsi"/>
          <w:sz w:val="24"/>
          <w:szCs w:val="24"/>
        </w:rPr>
        <w:t xml:space="preserve">utcome </w:t>
      </w:r>
      <w:r>
        <w:rPr>
          <w:rFonts w:asciiTheme="minorHAnsi" w:hAnsiTheme="minorHAnsi" w:cstheme="minorHAnsi"/>
          <w:sz w:val="24"/>
          <w:szCs w:val="24"/>
        </w:rPr>
        <w:t xml:space="preserve">1 </w:t>
      </w:r>
      <w:r w:rsidRPr="00C77948">
        <w:rPr>
          <w:rFonts w:asciiTheme="minorHAnsi" w:hAnsiTheme="minorHAnsi" w:cstheme="minorHAnsi"/>
          <w:b w:val="0"/>
          <w:bCs w:val="0"/>
          <w:sz w:val="24"/>
          <w:szCs w:val="24"/>
        </w:rPr>
        <w:t xml:space="preserve">- </w:t>
      </w:r>
      <w:r w:rsidRPr="00C77948">
        <w:rPr>
          <w:rStyle w:val="BookTitle"/>
          <w:rFonts w:asciiTheme="minorHAnsi" w:hAnsiTheme="minorHAnsi" w:cstheme="minorHAnsi"/>
          <w:b/>
          <w:bCs/>
          <w:i w:val="0"/>
          <w:iCs w:val="0"/>
          <w:spacing w:val="0"/>
          <w:sz w:val="24"/>
          <w:szCs w:val="24"/>
        </w:rPr>
        <w:t xml:space="preserve">Duration of </w:t>
      </w:r>
      <w:r w:rsidR="0082547F">
        <w:rPr>
          <w:rStyle w:val="BookTitle"/>
          <w:rFonts w:asciiTheme="minorHAnsi" w:hAnsiTheme="minorHAnsi" w:cstheme="minorHAnsi"/>
          <w:b/>
          <w:bCs/>
          <w:i w:val="0"/>
          <w:iCs w:val="0"/>
          <w:spacing w:val="0"/>
          <w:sz w:val="24"/>
          <w:szCs w:val="24"/>
        </w:rPr>
        <w:t>M</w:t>
      </w:r>
      <w:r w:rsidRPr="00C77948">
        <w:rPr>
          <w:rStyle w:val="BookTitle"/>
          <w:rFonts w:asciiTheme="minorHAnsi" w:hAnsiTheme="minorHAnsi" w:cstheme="minorHAnsi"/>
          <w:b/>
          <w:bCs/>
          <w:i w:val="0"/>
          <w:iCs w:val="0"/>
          <w:spacing w:val="0"/>
          <w:sz w:val="24"/>
          <w:szCs w:val="24"/>
        </w:rPr>
        <w:t xml:space="preserve">echanical </w:t>
      </w:r>
      <w:r w:rsidR="0082547F">
        <w:rPr>
          <w:rStyle w:val="BookTitle"/>
          <w:rFonts w:asciiTheme="minorHAnsi" w:hAnsiTheme="minorHAnsi" w:cstheme="minorHAnsi"/>
          <w:b/>
          <w:bCs/>
          <w:i w:val="0"/>
          <w:iCs w:val="0"/>
          <w:spacing w:val="0"/>
          <w:sz w:val="24"/>
          <w:szCs w:val="24"/>
        </w:rPr>
        <w:t>C</w:t>
      </w:r>
      <w:r w:rsidRPr="00C77948">
        <w:rPr>
          <w:rStyle w:val="BookTitle"/>
          <w:rFonts w:asciiTheme="minorHAnsi" w:hAnsiTheme="minorHAnsi" w:cstheme="minorHAnsi"/>
          <w:b/>
          <w:bCs/>
          <w:i w:val="0"/>
          <w:iCs w:val="0"/>
          <w:spacing w:val="0"/>
          <w:sz w:val="24"/>
          <w:szCs w:val="24"/>
        </w:rPr>
        <w:t xml:space="preserve">irculatory </w:t>
      </w:r>
      <w:r w:rsidR="0082547F">
        <w:rPr>
          <w:rStyle w:val="BookTitle"/>
          <w:rFonts w:asciiTheme="minorHAnsi" w:hAnsiTheme="minorHAnsi" w:cstheme="minorHAnsi"/>
          <w:b/>
          <w:bCs/>
          <w:i w:val="0"/>
          <w:iCs w:val="0"/>
          <w:spacing w:val="0"/>
          <w:sz w:val="24"/>
          <w:szCs w:val="24"/>
        </w:rPr>
        <w:t>S</w:t>
      </w:r>
      <w:r w:rsidRPr="00313F16">
        <w:rPr>
          <w:rStyle w:val="BookTitle"/>
          <w:rFonts w:asciiTheme="minorHAnsi" w:hAnsiTheme="minorHAnsi" w:cstheme="minorHAnsi"/>
          <w:b/>
          <w:bCs/>
          <w:i w:val="0"/>
          <w:iCs w:val="0"/>
          <w:spacing w:val="0"/>
          <w:sz w:val="24"/>
          <w:szCs w:val="24"/>
        </w:rPr>
        <w:t>upport</w:t>
      </w:r>
      <w:r w:rsidRPr="00C77948">
        <w:rPr>
          <w:rStyle w:val="BookTitle"/>
          <w:rFonts w:asciiTheme="minorHAnsi" w:hAnsiTheme="minorHAnsi" w:cstheme="minorHAnsi"/>
          <w:i w:val="0"/>
          <w:iCs w:val="0"/>
          <w:spacing w:val="0"/>
          <w:sz w:val="24"/>
          <w:szCs w:val="24"/>
        </w:rPr>
        <w:t xml:space="preserve"> </w:t>
      </w:r>
      <w:r w:rsidR="0082547F">
        <w:rPr>
          <w:sz w:val="24"/>
          <w:szCs w:val="24"/>
        </w:rPr>
        <w:t>S</w:t>
      </w:r>
      <w:r w:rsidRPr="00C77948">
        <w:rPr>
          <w:sz w:val="24"/>
          <w:szCs w:val="24"/>
        </w:rPr>
        <w:t xml:space="preserve">ubgroup </w:t>
      </w:r>
      <w:r w:rsidR="0082547F">
        <w:rPr>
          <w:sz w:val="24"/>
          <w:szCs w:val="24"/>
        </w:rPr>
        <w:t>A</w:t>
      </w:r>
      <w:r w:rsidRPr="00C77948">
        <w:rPr>
          <w:sz w:val="24"/>
          <w:szCs w:val="24"/>
        </w:rPr>
        <w:t xml:space="preserve">nalysis by </w:t>
      </w:r>
      <w:r w:rsidR="0082547F">
        <w:rPr>
          <w:sz w:val="24"/>
          <w:szCs w:val="24"/>
        </w:rPr>
        <w:t>S</w:t>
      </w:r>
      <w:r w:rsidRPr="00C77948">
        <w:rPr>
          <w:sz w:val="24"/>
          <w:szCs w:val="24"/>
        </w:rPr>
        <w:t xml:space="preserve">tudy </w:t>
      </w:r>
      <w:r w:rsidR="0082547F">
        <w:rPr>
          <w:sz w:val="24"/>
          <w:szCs w:val="24"/>
        </w:rPr>
        <w:t>D</w:t>
      </w:r>
      <w:r w:rsidRPr="00C77948">
        <w:rPr>
          <w:sz w:val="24"/>
          <w:szCs w:val="24"/>
        </w:rPr>
        <w:t>esign</w:t>
      </w:r>
    </w:p>
    <w:p w14:paraId="7F4963A9" w14:textId="53580BF7" w:rsidR="00313F16" w:rsidRDefault="00C77948" w:rsidP="00313F16">
      <w:pPr>
        <w:pStyle w:val="Heading1"/>
        <w:rPr>
          <w:rStyle w:val="BookTitle"/>
          <w:rFonts w:asciiTheme="minorHAnsi" w:hAnsiTheme="minorHAnsi" w:cstheme="minorHAnsi"/>
          <w:i w:val="0"/>
          <w:iCs w:val="0"/>
          <w:spacing w:val="0"/>
          <w:sz w:val="24"/>
          <w:szCs w:val="24"/>
        </w:rPr>
      </w:pPr>
      <w:r w:rsidRPr="00C77948">
        <w:rPr>
          <w:rStyle w:val="BookTitle"/>
          <w:rFonts w:asciiTheme="minorHAnsi" w:hAnsiTheme="minorHAnsi" w:cstheme="minorHAnsi"/>
          <w:i w:val="0"/>
          <w:iCs w:val="0"/>
          <w:noProof/>
          <w:spacing w:val="0"/>
          <w:sz w:val="24"/>
          <w:szCs w:val="24"/>
        </w:rPr>
        <w:drawing>
          <wp:anchor distT="0" distB="0" distL="114300" distR="114300" simplePos="0" relativeHeight="251667456" behindDoc="1" locked="0" layoutInCell="1" allowOverlap="1" wp14:anchorId="1646AF8A" wp14:editId="3313E5C1">
            <wp:simplePos x="0" y="0"/>
            <wp:positionH relativeFrom="column">
              <wp:posOffset>-228600</wp:posOffset>
            </wp:positionH>
            <wp:positionV relativeFrom="paragraph">
              <wp:posOffset>300990</wp:posOffset>
            </wp:positionV>
            <wp:extent cx="6382385" cy="2626995"/>
            <wp:effectExtent l="0" t="0" r="5715" b="1905"/>
            <wp:wrapTight wrapText="bothSides">
              <wp:wrapPolygon edited="0">
                <wp:start x="0" y="0"/>
                <wp:lineTo x="0" y="21511"/>
                <wp:lineTo x="21576" y="21511"/>
                <wp:lineTo x="21576" y="0"/>
                <wp:lineTo x="0" y="0"/>
              </wp:wrapPolygon>
            </wp:wrapTight>
            <wp:docPr id="1548170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170497" name=""/>
                    <pic:cNvPicPr/>
                  </pic:nvPicPr>
                  <pic:blipFill>
                    <a:blip r:embed="rId12">
                      <a:extLst>
                        <a:ext uri="{28A0092B-C50C-407E-A947-70E740481C1C}">
                          <a14:useLocalDpi xmlns:a14="http://schemas.microsoft.com/office/drawing/2010/main" val="0"/>
                        </a:ext>
                      </a:extLst>
                    </a:blip>
                    <a:stretch>
                      <a:fillRect/>
                    </a:stretch>
                  </pic:blipFill>
                  <pic:spPr>
                    <a:xfrm>
                      <a:off x="0" y="0"/>
                      <a:ext cx="6382385" cy="2626995"/>
                    </a:xfrm>
                    <a:prstGeom prst="rect">
                      <a:avLst/>
                    </a:prstGeom>
                  </pic:spPr>
                </pic:pic>
              </a:graphicData>
            </a:graphic>
            <wp14:sizeRelH relativeFrom="page">
              <wp14:pctWidth>0</wp14:pctWidth>
            </wp14:sizeRelH>
            <wp14:sizeRelV relativeFrom="page">
              <wp14:pctHeight>0</wp14:pctHeight>
            </wp14:sizeRelV>
          </wp:anchor>
        </w:drawing>
      </w:r>
    </w:p>
    <w:p w14:paraId="5DC91009" w14:textId="77777777" w:rsidR="00BB427B" w:rsidRDefault="00BB427B" w:rsidP="00BB427B">
      <w:pPr>
        <w:pStyle w:val="Heading1"/>
        <w:rPr>
          <w:rStyle w:val="BookTitle"/>
          <w:rFonts w:asciiTheme="minorHAnsi" w:hAnsiTheme="minorHAnsi" w:cstheme="minorHAnsi"/>
          <w:b/>
          <w:bCs/>
          <w:i w:val="0"/>
          <w:iCs w:val="0"/>
          <w:sz w:val="24"/>
          <w:szCs w:val="24"/>
        </w:rPr>
      </w:pPr>
    </w:p>
    <w:p w14:paraId="05791851" w14:textId="77777777" w:rsidR="00BB427B" w:rsidRDefault="00BB427B" w:rsidP="00BB427B">
      <w:pPr>
        <w:spacing w:before="60" w:after="200" w:line="259" w:lineRule="auto"/>
      </w:pPr>
      <w:r>
        <w:rPr>
          <w:rFonts w:asciiTheme="minorHAnsi" w:hAnsiTheme="minorHAnsi" w:cstheme="minorHAnsi"/>
          <w:i/>
          <w:sz w:val="20"/>
        </w:rPr>
        <w:t xml:space="preserve">Forest plot of the duration of mechanical circulatory support (days), stratified by study design. Overall, support duration was longer with </w:t>
      </w:r>
      <w:proofErr w:type="spellStart"/>
      <w:proofErr w:type="gramStart"/>
      <w:r>
        <w:rPr>
          <w:rFonts w:asciiTheme="minorHAnsi" w:hAnsiTheme="minorHAnsi" w:cstheme="minorHAnsi"/>
          <w:i/>
          <w:sz w:val="20"/>
        </w:rPr>
        <w:t>levosimendan</w:t>
      </w:r>
      <w:proofErr w:type="spellEnd"/>
      <w:proofErr w:type="gramEnd"/>
      <w:r>
        <w:rPr>
          <w:rFonts w:asciiTheme="minorHAnsi" w:hAnsiTheme="minorHAnsi" w:cstheme="minorHAnsi"/>
          <w:i/>
          <w:sz w:val="20"/>
        </w:rPr>
        <w:t xml:space="preserve"> but the difference was not statistically significant (mean difference +1.88 days, 95% CI −0.05 to 3.81; P = 0.06), with extreme heterogeneity (I² = 88%). The six observational cohorts were concordant and significant (MD +2.66 days, 95% CI 1.55 to 3.78; I² = 45%), whereas the single randomised trial reported shorter support with </w:t>
      </w:r>
      <w:proofErr w:type="spellStart"/>
      <w:r>
        <w:rPr>
          <w:rFonts w:asciiTheme="minorHAnsi" w:hAnsiTheme="minorHAnsi" w:cstheme="minorHAnsi"/>
          <w:i/>
          <w:sz w:val="20"/>
        </w:rPr>
        <w:t>levosimendan</w:t>
      </w:r>
      <w:proofErr w:type="spellEnd"/>
      <w:r>
        <w:rPr>
          <w:rFonts w:asciiTheme="minorHAnsi" w:hAnsiTheme="minorHAnsi" w:cstheme="minorHAnsi"/>
          <w:i/>
          <w:sz w:val="20"/>
        </w:rPr>
        <w:t xml:space="preserve"> (MD −1.67 days, 95% CI −2.77 to −0.56); the subgroup difference was significant (χ² = 29.33, P &lt; 0.00001).</w:t>
      </w:r>
    </w:p>
    <w:p w14:paraId="0913F5CB" w14:textId="77777777" w:rsidR="00BB427B" w:rsidRPr="00BB427B" w:rsidRDefault="00BB427B" w:rsidP="00313F16">
      <w:pPr>
        <w:pStyle w:val="Heading1"/>
        <w:rPr>
          <w:rStyle w:val="BookTitle"/>
          <w:rFonts w:asciiTheme="minorHAnsi" w:hAnsiTheme="minorHAnsi" w:cstheme="minorHAnsi"/>
          <w:i w:val="0"/>
          <w:iCs w:val="0"/>
          <w:spacing w:val="0"/>
          <w:sz w:val="24"/>
          <w:szCs w:val="24"/>
        </w:rPr>
      </w:pPr>
    </w:p>
    <w:p w14:paraId="37E00DBB" w14:textId="77777777" w:rsidR="00313F16" w:rsidRDefault="00313F16" w:rsidP="00313F16">
      <w:pPr>
        <w:pStyle w:val="Heading1"/>
        <w:rPr>
          <w:rStyle w:val="BookTitle"/>
          <w:rFonts w:asciiTheme="minorHAnsi" w:hAnsiTheme="minorHAnsi" w:cstheme="minorHAnsi"/>
          <w:b/>
          <w:bCs/>
          <w:i w:val="0"/>
          <w:iCs w:val="0"/>
          <w:spacing w:val="0"/>
          <w:sz w:val="24"/>
          <w:szCs w:val="24"/>
        </w:rPr>
      </w:pPr>
    </w:p>
    <w:p w14:paraId="3899AFA4" w14:textId="77777777" w:rsidR="00F626B3" w:rsidRDefault="00F626B3" w:rsidP="00313F16">
      <w:pPr>
        <w:pStyle w:val="Heading1"/>
        <w:rPr>
          <w:rStyle w:val="BookTitle"/>
          <w:rFonts w:asciiTheme="minorHAnsi" w:hAnsiTheme="minorHAnsi" w:cstheme="minorHAnsi"/>
          <w:b/>
          <w:bCs/>
          <w:i w:val="0"/>
          <w:iCs w:val="0"/>
          <w:spacing w:val="0"/>
          <w:sz w:val="24"/>
          <w:szCs w:val="24"/>
        </w:rPr>
      </w:pPr>
    </w:p>
    <w:p w14:paraId="7D7BDDA5" w14:textId="77777777" w:rsidR="00F626B3" w:rsidRDefault="00F626B3" w:rsidP="00313F16">
      <w:pPr>
        <w:pStyle w:val="Heading1"/>
        <w:rPr>
          <w:rStyle w:val="BookTitle"/>
          <w:rFonts w:asciiTheme="minorHAnsi" w:hAnsiTheme="minorHAnsi" w:cstheme="minorHAnsi"/>
          <w:b/>
          <w:bCs/>
          <w:i w:val="0"/>
          <w:iCs w:val="0"/>
          <w:spacing w:val="0"/>
          <w:sz w:val="24"/>
          <w:szCs w:val="24"/>
        </w:rPr>
      </w:pPr>
    </w:p>
    <w:p w14:paraId="16FEAFB9" w14:textId="77777777" w:rsidR="00313F16" w:rsidRDefault="00313F16" w:rsidP="00313F16">
      <w:pPr>
        <w:pStyle w:val="Heading1"/>
        <w:rPr>
          <w:rStyle w:val="BookTitle"/>
          <w:rFonts w:asciiTheme="minorHAnsi" w:hAnsiTheme="minorHAnsi" w:cstheme="minorHAnsi"/>
          <w:b/>
          <w:bCs/>
          <w:i w:val="0"/>
          <w:iCs w:val="0"/>
          <w:spacing w:val="0"/>
          <w:sz w:val="24"/>
          <w:szCs w:val="24"/>
        </w:rPr>
      </w:pPr>
    </w:p>
    <w:p w14:paraId="17F8D94D" w14:textId="3789311C" w:rsidR="00313F16" w:rsidRPr="00313F16" w:rsidRDefault="00313F16" w:rsidP="00313F16">
      <w:pPr>
        <w:pStyle w:val="Heading1"/>
        <w:rPr>
          <w:rStyle w:val="BookTitle"/>
          <w:rFonts w:asciiTheme="minorHAnsi" w:hAnsiTheme="minorHAnsi" w:cstheme="minorHAnsi"/>
          <w:i w:val="0"/>
          <w:iCs w:val="0"/>
          <w:spacing w:val="0"/>
          <w:sz w:val="24"/>
          <w:szCs w:val="24"/>
        </w:rPr>
      </w:pPr>
      <w:r w:rsidRPr="00313F16">
        <w:rPr>
          <w:rStyle w:val="BookTitle"/>
          <w:rFonts w:asciiTheme="minorHAnsi" w:hAnsiTheme="minorHAnsi" w:cstheme="minorHAnsi"/>
          <w:b/>
          <w:bCs/>
          <w:i w:val="0"/>
          <w:iCs w:val="0"/>
          <w:spacing w:val="0"/>
          <w:sz w:val="24"/>
          <w:szCs w:val="24"/>
        </w:rPr>
        <w:lastRenderedPageBreak/>
        <w:t>Figure 6</w:t>
      </w:r>
      <w:r>
        <w:rPr>
          <w:rStyle w:val="BookTitle"/>
          <w:rFonts w:asciiTheme="minorHAnsi" w:hAnsiTheme="minorHAnsi" w:cstheme="minorHAnsi"/>
          <w:b/>
          <w:bCs/>
          <w:i w:val="0"/>
          <w:iCs w:val="0"/>
          <w:spacing w:val="0"/>
          <w:sz w:val="24"/>
          <w:szCs w:val="24"/>
        </w:rPr>
        <w:t xml:space="preserve">a. </w:t>
      </w:r>
      <w:r w:rsidRPr="00313F16">
        <w:rPr>
          <w:rStyle w:val="BookTitle"/>
          <w:rFonts w:asciiTheme="minorHAnsi" w:hAnsiTheme="minorHAnsi" w:cstheme="minorHAnsi"/>
          <w:b/>
          <w:bCs/>
          <w:i w:val="0"/>
          <w:iCs w:val="0"/>
          <w:spacing w:val="0"/>
          <w:sz w:val="24"/>
          <w:szCs w:val="24"/>
        </w:rPr>
        <w:t xml:space="preserve">Secondary </w:t>
      </w:r>
      <w:r w:rsidR="0082547F">
        <w:rPr>
          <w:rStyle w:val="BookTitle"/>
          <w:rFonts w:asciiTheme="minorHAnsi" w:hAnsiTheme="minorHAnsi" w:cstheme="minorHAnsi"/>
          <w:b/>
          <w:bCs/>
          <w:i w:val="0"/>
          <w:iCs w:val="0"/>
          <w:spacing w:val="0"/>
          <w:sz w:val="24"/>
          <w:szCs w:val="24"/>
        </w:rPr>
        <w:t>O</w:t>
      </w:r>
      <w:r w:rsidRPr="00313F16">
        <w:rPr>
          <w:rStyle w:val="BookTitle"/>
          <w:rFonts w:asciiTheme="minorHAnsi" w:hAnsiTheme="minorHAnsi" w:cstheme="minorHAnsi"/>
          <w:b/>
          <w:bCs/>
          <w:i w:val="0"/>
          <w:iCs w:val="0"/>
          <w:spacing w:val="0"/>
          <w:sz w:val="24"/>
          <w:szCs w:val="24"/>
        </w:rPr>
        <w:t xml:space="preserve">utcome </w:t>
      </w:r>
      <w:r>
        <w:rPr>
          <w:rStyle w:val="BookTitle"/>
          <w:rFonts w:asciiTheme="minorHAnsi" w:hAnsiTheme="minorHAnsi" w:cstheme="minorHAnsi"/>
          <w:b/>
          <w:bCs/>
          <w:i w:val="0"/>
          <w:iCs w:val="0"/>
          <w:spacing w:val="0"/>
          <w:sz w:val="24"/>
          <w:szCs w:val="24"/>
        </w:rPr>
        <w:t xml:space="preserve">#2 </w:t>
      </w:r>
      <w:r w:rsidRPr="00313F16">
        <w:rPr>
          <w:rStyle w:val="BookTitle"/>
          <w:rFonts w:asciiTheme="minorHAnsi" w:hAnsiTheme="minorHAnsi" w:cstheme="minorHAnsi"/>
          <w:b/>
          <w:bCs/>
          <w:i w:val="0"/>
          <w:iCs w:val="0"/>
          <w:spacing w:val="0"/>
          <w:sz w:val="24"/>
          <w:szCs w:val="24"/>
        </w:rPr>
        <w:t>-</w:t>
      </w:r>
      <w:r w:rsidR="0082547F">
        <w:rPr>
          <w:rStyle w:val="BookTitle"/>
          <w:rFonts w:asciiTheme="minorHAnsi" w:hAnsiTheme="minorHAnsi" w:cstheme="minorHAnsi"/>
          <w:b/>
          <w:bCs/>
          <w:i w:val="0"/>
          <w:iCs w:val="0"/>
          <w:spacing w:val="0"/>
          <w:sz w:val="24"/>
          <w:szCs w:val="24"/>
        </w:rPr>
        <w:t xml:space="preserve"> </w:t>
      </w:r>
      <w:r w:rsidRPr="00313F16">
        <w:rPr>
          <w:rFonts w:asciiTheme="minorHAnsi" w:hAnsiTheme="minorHAnsi" w:cstheme="minorHAnsi"/>
          <w:sz w:val="24"/>
          <w:szCs w:val="24"/>
          <w:lang w:val="en-US" w:eastAsia="en-US"/>
        </w:rPr>
        <w:t xml:space="preserve">ICU </w:t>
      </w:r>
      <w:r>
        <w:rPr>
          <w:rFonts w:asciiTheme="minorHAnsi" w:hAnsiTheme="minorHAnsi" w:cstheme="minorHAnsi"/>
          <w:sz w:val="24"/>
          <w:szCs w:val="24"/>
          <w:lang w:val="en-US" w:eastAsia="en-US"/>
        </w:rPr>
        <w:t>L</w:t>
      </w:r>
      <w:r w:rsidRPr="00313F16">
        <w:rPr>
          <w:rFonts w:asciiTheme="minorHAnsi" w:hAnsiTheme="minorHAnsi" w:cstheme="minorHAnsi"/>
          <w:sz w:val="24"/>
          <w:szCs w:val="24"/>
          <w:lang w:val="en-US" w:eastAsia="en-US"/>
        </w:rPr>
        <w:t xml:space="preserve">ength of </w:t>
      </w:r>
      <w:r>
        <w:rPr>
          <w:rFonts w:asciiTheme="minorHAnsi" w:hAnsiTheme="minorHAnsi" w:cstheme="minorHAnsi"/>
          <w:sz w:val="24"/>
          <w:szCs w:val="24"/>
          <w:lang w:val="en-US" w:eastAsia="en-US"/>
        </w:rPr>
        <w:t>S</w:t>
      </w:r>
      <w:r w:rsidRPr="00313F16">
        <w:rPr>
          <w:rFonts w:asciiTheme="minorHAnsi" w:hAnsiTheme="minorHAnsi" w:cstheme="minorHAnsi"/>
          <w:sz w:val="24"/>
          <w:szCs w:val="24"/>
          <w:lang w:val="en-US" w:eastAsia="en-US"/>
        </w:rPr>
        <w:t>tay</w:t>
      </w:r>
    </w:p>
    <w:p w14:paraId="770E9055" w14:textId="3398274A" w:rsidR="00BB427B" w:rsidRDefault="00313F16" w:rsidP="00BB427B">
      <w:pPr>
        <w:spacing w:after="120" w:line="480" w:lineRule="auto"/>
        <w:rPr>
          <w:b/>
          <w:bCs/>
        </w:rPr>
      </w:pPr>
      <w:r w:rsidRPr="007D4D13">
        <w:rPr>
          <w:noProof/>
        </w:rPr>
        <w:drawing>
          <wp:inline distT="0" distB="0" distL="0" distR="0" wp14:anchorId="3F0310FA" wp14:editId="1C92C14D">
            <wp:extent cx="5943600" cy="1291590"/>
            <wp:effectExtent l="0" t="0" r="0" b="3810"/>
            <wp:docPr id="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graph&#10;&#10;Description automatically generated"/>
                    <pic:cNvPicPr/>
                  </pic:nvPicPr>
                  <pic:blipFill>
                    <a:blip r:embed="rId13"/>
                    <a:stretch>
                      <a:fillRect/>
                    </a:stretch>
                  </pic:blipFill>
                  <pic:spPr>
                    <a:xfrm>
                      <a:off x="0" y="0"/>
                      <a:ext cx="5943600" cy="1291590"/>
                    </a:xfrm>
                    <a:prstGeom prst="rect">
                      <a:avLst/>
                    </a:prstGeom>
                  </pic:spPr>
                </pic:pic>
              </a:graphicData>
            </a:graphic>
          </wp:inline>
        </w:drawing>
      </w:r>
    </w:p>
    <w:p w14:paraId="04C4151A" w14:textId="77777777" w:rsidR="00BB427B" w:rsidRDefault="00BB427B" w:rsidP="00BB427B">
      <w:pPr>
        <w:spacing w:before="60" w:after="200" w:line="259" w:lineRule="auto"/>
      </w:pPr>
      <w:r>
        <w:rPr>
          <w:rFonts w:asciiTheme="minorHAnsi" w:hAnsiTheme="minorHAnsi" w:cstheme="minorHAnsi"/>
          <w:i/>
          <w:sz w:val="20"/>
        </w:rPr>
        <w:t xml:space="preserve">Forest plot of intensive care unit length of stay (days) across six studies. In the overall analysis, stay was longer with </w:t>
      </w:r>
      <w:proofErr w:type="spellStart"/>
      <w:proofErr w:type="gramStart"/>
      <w:r>
        <w:rPr>
          <w:rFonts w:asciiTheme="minorHAnsi" w:hAnsiTheme="minorHAnsi" w:cstheme="minorHAnsi"/>
          <w:i/>
          <w:sz w:val="20"/>
        </w:rPr>
        <w:t>levosimendan</w:t>
      </w:r>
      <w:proofErr w:type="spellEnd"/>
      <w:proofErr w:type="gramEnd"/>
      <w:r>
        <w:rPr>
          <w:rFonts w:asciiTheme="minorHAnsi" w:hAnsiTheme="minorHAnsi" w:cstheme="minorHAnsi"/>
          <w:i/>
          <w:sz w:val="20"/>
        </w:rPr>
        <w:t xml:space="preserve"> but the difference did not reach significance (MD +3.94 days, 95% CI −0.09 to 7.97; P = 0.06), with substantial heterogeneity (I² = 82%).</w:t>
      </w:r>
    </w:p>
    <w:p w14:paraId="739FC857" w14:textId="77777777" w:rsidR="00C43454" w:rsidRDefault="00C43454" w:rsidP="007547E5">
      <w:pPr>
        <w:spacing w:after="120" w:line="480" w:lineRule="auto"/>
        <w:rPr>
          <w:b/>
          <w:bCs/>
        </w:rPr>
      </w:pPr>
    </w:p>
    <w:p w14:paraId="45476439" w14:textId="252DD125" w:rsidR="00C43454" w:rsidRPr="00313F16" w:rsidRDefault="00313F16" w:rsidP="00313F16">
      <w:pPr>
        <w:pStyle w:val="Heading1"/>
        <w:rPr>
          <w:rFonts w:asciiTheme="minorHAnsi" w:hAnsiTheme="minorHAnsi" w:cstheme="minorHAnsi"/>
          <w:b w:val="0"/>
          <w:bCs w:val="0"/>
          <w:sz w:val="24"/>
          <w:szCs w:val="24"/>
        </w:rPr>
      </w:pPr>
      <w:r w:rsidRPr="00313F16">
        <w:rPr>
          <w:rStyle w:val="BookTitle"/>
          <w:rFonts w:asciiTheme="minorHAnsi" w:hAnsiTheme="minorHAnsi" w:cstheme="minorHAnsi"/>
          <w:b/>
          <w:bCs/>
          <w:i w:val="0"/>
          <w:iCs w:val="0"/>
          <w:spacing w:val="0"/>
          <w:sz w:val="24"/>
          <w:szCs w:val="24"/>
        </w:rPr>
        <w:t>Figure 6</w:t>
      </w:r>
      <w:r>
        <w:rPr>
          <w:rStyle w:val="BookTitle"/>
          <w:rFonts w:asciiTheme="minorHAnsi" w:hAnsiTheme="minorHAnsi" w:cstheme="minorHAnsi"/>
          <w:b/>
          <w:bCs/>
          <w:i w:val="0"/>
          <w:iCs w:val="0"/>
          <w:spacing w:val="0"/>
          <w:sz w:val="24"/>
          <w:szCs w:val="24"/>
        </w:rPr>
        <w:t xml:space="preserve">b. </w:t>
      </w:r>
      <w:r w:rsidRPr="00313F16">
        <w:rPr>
          <w:rStyle w:val="BookTitle"/>
          <w:rFonts w:asciiTheme="minorHAnsi" w:hAnsiTheme="minorHAnsi" w:cstheme="minorHAnsi"/>
          <w:b/>
          <w:bCs/>
          <w:i w:val="0"/>
          <w:iCs w:val="0"/>
          <w:spacing w:val="0"/>
          <w:sz w:val="24"/>
          <w:szCs w:val="24"/>
        </w:rPr>
        <w:t xml:space="preserve">Secondary </w:t>
      </w:r>
      <w:r w:rsidR="0082547F">
        <w:rPr>
          <w:rStyle w:val="BookTitle"/>
          <w:rFonts w:asciiTheme="minorHAnsi" w:hAnsiTheme="minorHAnsi" w:cstheme="minorHAnsi"/>
          <w:b/>
          <w:bCs/>
          <w:i w:val="0"/>
          <w:iCs w:val="0"/>
          <w:spacing w:val="0"/>
          <w:sz w:val="24"/>
          <w:szCs w:val="24"/>
        </w:rPr>
        <w:t>O</w:t>
      </w:r>
      <w:r w:rsidRPr="00313F16">
        <w:rPr>
          <w:rStyle w:val="BookTitle"/>
          <w:rFonts w:asciiTheme="minorHAnsi" w:hAnsiTheme="minorHAnsi" w:cstheme="minorHAnsi"/>
          <w:b/>
          <w:bCs/>
          <w:i w:val="0"/>
          <w:iCs w:val="0"/>
          <w:spacing w:val="0"/>
          <w:sz w:val="24"/>
          <w:szCs w:val="24"/>
        </w:rPr>
        <w:t xml:space="preserve">utcome </w:t>
      </w:r>
      <w:r>
        <w:rPr>
          <w:rStyle w:val="BookTitle"/>
          <w:rFonts w:asciiTheme="minorHAnsi" w:hAnsiTheme="minorHAnsi" w:cstheme="minorHAnsi"/>
          <w:b/>
          <w:bCs/>
          <w:i w:val="0"/>
          <w:iCs w:val="0"/>
          <w:spacing w:val="0"/>
          <w:sz w:val="24"/>
          <w:szCs w:val="24"/>
        </w:rPr>
        <w:t xml:space="preserve">#2 </w:t>
      </w:r>
      <w:r w:rsidRPr="00313F16">
        <w:rPr>
          <w:rStyle w:val="BookTitle"/>
          <w:rFonts w:asciiTheme="minorHAnsi" w:hAnsiTheme="minorHAnsi" w:cstheme="minorHAnsi"/>
          <w:b/>
          <w:bCs/>
          <w:i w:val="0"/>
          <w:iCs w:val="0"/>
          <w:spacing w:val="0"/>
          <w:sz w:val="24"/>
          <w:szCs w:val="24"/>
        </w:rPr>
        <w:t>-</w:t>
      </w:r>
      <w:r w:rsidR="0082547F">
        <w:rPr>
          <w:rStyle w:val="BookTitle"/>
          <w:rFonts w:asciiTheme="minorHAnsi" w:hAnsiTheme="minorHAnsi" w:cstheme="minorHAnsi"/>
          <w:b/>
          <w:bCs/>
          <w:i w:val="0"/>
          <w:iCs w:val="0"/>
          <w:spacing w:val="0"/>
          <w:sz w:val="24"/>
          <w:szCs w:val="24"/>
        </w:rPr>
        <w:t xml:space="preserve"> </w:t>
      </w:r>
      <w:r w:rsidRPr="00313F16">
        <w:rPr>
          <w:rFonts w:asciiTheme="minorHAnsi" w:hAnsiTheme="minorHAnsi" w:cstheme="minorHAnsi"/>
          <w:sz w:val="24"/>
          <w:szCs w:val="24"/>
          <w:lang w:val="en-US" w:eastAsia="en-US"/>
        </w:rPr>
        <w:t xml:space="preserve">ICU </w:t>
      </w:r>
      <w:r>
        <w:rPr>
          <w:rFonts w:asciiTheme="minorHAnsi" w:hAnsiTheme="minorHAnsi" w:cstheme="minorHAnsi"/>
          <w:sz w:val="24"/>
          <w:szCs w:val="24"/>
          <w:lang w:val="en-US" w:eastAsia="en-US"/>
        </w:rPr>
        <w:t>L</w:t>
      </w:r>
      <w:r w:rsidRPr="00313F16">
        <w:rPr>
          <w:rFonts w:asciiTheme="minorHAnsi" w:hAnsiTheme="minorHAnsi" w:cstheme="minorHAnsi"/>
          <w:sz w:val="24"/>
          <w:szCs w:val="24"/>
          <w:lang w:val="en-US" w:eastAsia="en-US"/>
        </w:rPr>
        <w:t xml:space="preserve">ength of </w:t>
      </w:r>
      <w:r>
        <w:rPr>
          <w:rFonts w:asciiTheme="minorHAnsi" w:hAnsiTheme="minorHAnsi" w:cstheme="minorHAnsi"/>
          <w:sz w:val="24"/>
          <w:szCs w:val="24"/>
          <w:lang w:val="en-US" w:eastAsia="en-US"/>
        </w:rPr>
        <w:t>S</w:t>
      </w:r>
      <w:r w:rsidRPr="00313F16">
        <w:rPr>
          <w:rFonts w:asciiTheme="minorHAnsi" w:hAnsiTheme="minorHAnsi" w:cstheme="minorHAnsi"/>
          <w:sz w:val="24"/>
          <w:szCs w:val="24"/>
          <w:lang w:val="en-US" w:eastAsia="en-US"/>
        </w:rPr>
        <w:t>tay</w:t>
      </w:r>
      <w:r>
        <w:rPr>
          <w:rFonts w:asciiTheme="minorHAnsi" w:hAnsiTheme="minorHAnsi" w:cstheme="minorHAnsi"/>
          <w:sz w:val="24"/>
          <w:szCs w:val="24"/>
          <w:lang w:val="en-US" w:eastAsia="en-US"/>
        </w:rPr>
        <w:t xml:space="preserve"> with Sensitivity Analysis </w:t>
      </w:r>
    </w:p>
    <w:p w14:paraId="744230AC" w14:textId="2F778EEC" w:rsidR="00C43454" w:rsidRDefault="00313F16" w:rsidP="007547E5">
      <w:pPr>
        <w:spacing w:after="120" w:line="480" w:lineRule="auto"/>
        <w:rPr>
          <w:b/>
          <w:bCs/>
        </w:rPr>
      </w:pPr>
      <w:r w:rsidRPr="00CF014C">
        <w:rPr>
          <w:noProof/>
        </w:rPr>
        <w:drawing>
          <wp:inline distT="0" distB="0" distL="0" distR="0" wp14:anchorId="37D20641" wp14:editId="7E49AE09">
            <wp:extent cx="5943600" cy="1291590"/>
            <wp:effectExtent l="0" t="0" r="0" b="3810"/>
            <wp:docPr id="1469098736" name="Picture 146909873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98736" name="Picture 1469098736" descr="A screenshot of a graph&#10;&#10;Description automatically generated"/>
                    <pic:cNvPicPr/>
                  </pic:nvPicPr>
                  <pic:blipFill>
                    <a:blip r:embed="rId14"/>
                    <a:stretch>
                      <a:fillRect/>
                    </a:stretch>
                  </pic:blipFill>
                  <pic:spPr>
                    <a:xfrm>
                      <a:off x="0" y="0"/>
                      <a:ext cx="5943600" cy="1291590"/>
                    </a:xfrm>
                    <a:prstGeom prst="rect">
                      <a:avLst/>
                    </a:prstGeom>
                  </pic:spPr>
                </pic:pic>
              </a:graphicData>
            </a:graphic>
          </wp:inline>
        </w:drawing>
      </w:r>
    </w:p>
    <w:p w14:paraId="4466D5F5" w14:textId="77777777" w:rsidR="00BB427B" w:rsidRDefault="00BB427B" w:rsidP="00BB427B">
      <w:pPr>
        <w:spacing w:after="120" w:line="480" w:lineRule="auto"/>
        <w:rPr>
          <w:b/>
          <w:bCs/>
        </w:rPr>
      </w:pPr>
    </w:p>
    <w:p w14:paraId="382B02C7" w14:textId="77777777" w:rsidR="00BB427B" w:rsidRDefault="00BB427B" w:rsidP="00BB427B">
      <w:pPr>
        <w:spacing w:before="60" w:after="200" w:line="259" w:lineRule="auto"/>
      </w:pPr>
      <w:r>
        <w:rPr>
          <w:rFonts w:asciiTheme="minorHAnsi" w:hAnsiTheme="minorHAnsi" w:cstheme="minorHAnsi"/>
          <w:i/>
          <w:sz w:val="20"/>
        </w:rPr>
        <w:t>Sensitivity analysis for intensive care unit length of stay after exclusion of the two outlying studies (Jacky 2018 and Combes 2025). The four remaining cohorts were concordant and significant (MD +2.63 days, 95% CI 0.66 to 4.59; P = 0.009), with heterogeneity eliminated (I² = 0%).</w:t>
      </w:r>
    </w:p>
    <w:p w14:paraId="1AF33B34" w14:textId="77777777" w:rsidR="00C369A8" w:rsidRDefault="00C369A8" w:rsidP="007547E5">
      <w:pPr>
        <w:spacing w:after="120" w:line="480" w:lineRule="auto"/>
        <w:rPr>
          <w:b/>
          <w:bCs/>
        </w:rPr>
      </w:pPr>
    </w:p>
    <w:p w14:paraId="2E3E5F46" w14:textId="77777777" w:rsidR="00F626B3" w:rsidRDefault="00F626B3" w:rsidP="007547E5">
      <w:pPr>
        <w:spacing w:after="120" w:line="480" w:lineRule="auto"/>
        <w:rPr>
          <w:b/>
          <w:bCs/>
        </w:rPr>
      </w:pPr>
    </w:p>
    <w:p w14:paraId="2646B2DA" w14:textId="77777777" w:rsidR="00F626B3" w:rsidRDefault="00F626B3" w:rsidP="007547E5">
      <w:pPr>
        <w:spacing w:after="120" w:line="480" w:lineRule="auto"/>
        <w:rPr>
          <w:b/>
          <w:bCs/>
        </w:rPr>
      </w:pPr>
    </w:p>
    <w:p w14:paraId="46028351" w14:textId="77777777" w:rsidR="00F626B3" w:rsidRDefault="00F626B3" w:rsidP="007547E5">
      <w:pPr>
        <w:spacing w:after="120" w:line="480" w:lineRule="auto"/>
        <w:rPr>
          <w:b/>
          <w:bCs/>
        </w:rPr>
      </w:pPr>
    </w:p>
    <w:p w14:paraId="1D66B8B6" w14:textId="7BB068D4" w:rsidR="0082547F" w:rsidRDefault="0082547F" w:rsidP="0082547F">
      <w:pPr>
        <w:pStyle w:val="Heading1"/>
        <w:rPr>
          <w:rFonts w:asciiTheme="minorHAnsi" w:hAnsiTheme="minorHAnsi" w:cstheme="minorHAnsi"/>
          <w:sz w:val="24"/>
          <w:szCs w:val="24"/>
          <w:lang w:val="en-US" w:eastAsia="en-US"/>
        </w:rPr>
      </w:pPr>
      <w:r w:rsidRPr="00313F16">
        <w:rPr>
          <w:rStyle w:val="BookTitle"/>
          <w:rFonts w:asciiTheme="minorHAnsi" w:hAnsiTheme="minorHAnsi" w:cstheme="minorHAnsi"/>
          <w:b/>
          <w:bCs/>
          <w:i w:val="0"/>
          <w:iCs w:val="0"/>
          <w:spacing w:val="0"/>
          <w:sz w:val="24"/>
          <w:szCs w:val="24"/>
        </w:rPr>
        <w:lastRenderedPageBreak/>
        <w:t xml:space="preserve">Figure </w:t>
      </w:r>
      <w:r>
        <w:rPr>
          <w:rStyle w:val="BookTitle"/>
          <w:rFonts w:asciiTheme="minorHAnsi" w:hAnsiTheme="minorHAnsi" w:cstheme="minorHAnsi"/>
          <w:b/>
          <w:bCs/>
          <w:i w:val="0"/>
          <w:iCs w:val="0"/>
          <w:spacing w:val="0"/>
          <w:sz w:val="24"/>
          <w:szCs w:val="24"/>
        </w:rPr>
        <w:t xml:space="preserve">7a. </w:t>
      </w:r>
      <w:r w:rsidRPr="00313F16">
        <w:rPr>
          <w:rStyle w:val="BookTitle"/>
          <w:rFonts w:asciiTheme="minorHAnsi" w:hAnsiTheme="minorHAnsi" w:cstheme="minorHAnsi"/>
          <w:b/>
          <w:bCs/>
          <w:i w:val="0"/>
          <w:iCs w:val="0"/>
          <w:spacing w:val="0"/>
          <w:sz w:val="24"/>
          <w:szCs w:val="24"/>
        </w:rPr>
        <w:t xml:space="preserve">Secondary </w:t>
      </w:r>
      <w:r>
        <w:rPr>
          <w:rStyle w:val="BookTitle"/>
          <w:rFonts w:asciiTheme="minorHAnsi" w:hAnsiTheme="minorHAnsi" w:cstheme="minorHAnsi"/>
          <w:b/>
          <w:bCs/>
          <w:i w:val="0"/>
          <w:iCs w:val="0"/>
          <w:spacing w:val="0"/>
          <w:sz w:val="24"/>
          <w:szCs w:val="24"/>
        </w:rPr>
        <w:t>O</w:t>
      </w:r>
      <w:r w:rsidRPr="00313F16">
        <w:rPr>
          <w:rStyle w:val="BookTitle"/>
          <w:rFonts w:asciiTheme="minorHAnsi" w:hAnsiTheme="minorHAnsi" w:cstheme="minorHAnsi"/>
          <w:b/>
          <w:bCs/>
          <w:i w:val="0"/>
          <w:iCs w:val="0"/>
          <w:spacing w:val="0"/>
          <w:sz w:val="24"/>
          <w:szCs w:val="24"/>
        </w:rPr>
        <w:t xml:space="preserve">utcome </w:t>
      </w:r>
      <w:r>
        <w:rPr>
          <w:rStyle w:val="BookTitle"/>
          <w:rFonts w:asciiTheme="minorHAnsi" w:hAnsiTheme="minorHAnsi" w:cstheme="minorHAnsi"/>
          <w:b/>
          <w:bCs/>
          <w:i w:val="0"/>
          <w:iCs w:val="0"/>
          <w:spacing w:val="0"/>
          <w:sz w:val="24"/>
          <w:szCs w:val="24"/>
        </w:rPr>
        <w:t xml:space="preserve">#3 – </w:t>
      </w:r>
      <w:r>
        <w:rPr>
          <w:rFonts w:asciiTheme="minorHAnsi" w:hAnsiTheme="minorHAnsi" w:cstheme="minorHAnsi"/>
          <w:sz w:val="24"/>
          <w:szCs w:val="24"/>
          <w:lang w:val="en-US" w:eastAsia="en-US"/>
        </w:rPr>
        <w:t>Hospital Length</w:t>
      </w:r>
      <w:r w:rsidRPr="00313F16">
        <w:rPr>
          <w:rFonts w:asciiTheme="minorHAnsi" w:hAnsiTheme="minorHAnsi" w:cstheme="minorHAnsi"/>
          <w:sz w:val="24"/>
          <w:szCs w:val="24"/>
          <w:lang w:val="en-US" w:eastAsia="en-US"/>
        </w:rPr>
        <w:t xml:space="preserve"> of </w:t>
      </w:r>
      <w:r>
        <w:rPr>
          <w:rFonts w:asciiTheme="minorHAnsi" w:hAnsiTheme="minorHAnsi" w:cstheme="minorHAnsi"/>
          <w:sz w:val="24"/>
          <w:szCs w:val="24"/>
          <w:lang w:val="en-US" w:eastAsia="en-US"/>
        </w:rPr>
        <w:t>S</w:t>
      </w:r>
      <w:r w:rsidRPr="00313F16">
        <w:rPr>
          <w:rFonts w:asciiTheme="minorHAnsi" w:hAnsiTheme="minorHAnsi" w:cstheme="minorHAnsi"/>
          <w:sz w:val="24"/>
          <w:szCs w:val="24"/>
          <w:lang w:val="en-US" w:eastAsia="en-US"/>
        </w:rPr>
        <w:t>tay</w:t>
      </w:r>
      <w:r>
        <w:rPr>
          <w:rFonts w:asciiTheme="minorHAnsi" w:hAnsiTheme="minorHAnsi" w:cstheme="minorHAnsi"/>
          <w:sz w:val="24"/>
          <w:szCs w:val="24"/>
          <w:lang w:val="en-US" w:eastAsia="en-US"/>
        </w:rPr>
        <w:t xml:space="preserve"> </w:t>
      </w:r>
    </w:p>
    <w:p w14:paraId="64DCE338" w14:textId="4121196F" w:rsidR="00BB427B" w:rsidRPr="00BB427B" w:rsidRDefault="00C369A8" w:rsidP="00BB427B">
      <w:pPr>
        <w:pStyle w:val="Heading1"/>
        <w:rPr>
          <w:rStyle w:val="BookTitle"/>
          <w:rFonts w:asciiTheme="minorHAnsi" w:hAnsiTheme="minorHAnsi" w:cstheme="minorHAnsi"/>
          <w:b/>
          <w:bCs/>
          <w:i w:val="0"/>
          <w:iCs w:val="0"/>
          <w:spacing w:val="0"/>
          <w:sz w:val="24"/>
          <w:szCs w:val="24"/>
          <w:lang w:val="en-US" w:eastAsia="en-US"/>
        </w:rPr>
      </w:pPr>
      <w:r w:rsidRPr="005C3F28">
        <w:rPr>
          <w:noProof/>
        </w:rPr>
        <w:drawing>
          <wp:inline distT="0" distB="0" distL="0" distR="0" wp14:anchorId="4EE3C93F" wp14:editId="17F29049">
            <wp:extent cx="5943600" cy="1289050"/>
            <wp:effectExtent l="0" t="0" r="0" b="6350"/>
            <wp:docPr id="1515363689" name="Picture 151536368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63689" name="Picture 1515363689" descr="A screenshot of a graph&#10;&#10;Description automatically generated"/>
                    <pic:cNvPicPr/>
                  </pic:nvPicPr>
                  <pic:blipFill>
                    <a:blip r:embed="rId15"/>
                    <a:stretch>
                      <a:fillRect/>
                    </a:stretch>
                  </pic:blipFill>
                  <pic:spPr>
                    <a:xfrm>
                      <a:off x="0" y="0"/>
                      <a:ext cx="5943600" cy="1289050"/>
                    </a:xfrm>
                    <a:prstGeom prst="rect">
                      <a:avLst/>
                    </a:prstGeom>
                  </pic:spPr>
                </pic:pic>
              </a:graphicData>
            </a:graphic>
          </wp:inline>
        </w:drawing>
      </w:r>
    </w:p>
    <w:p w14:paraId="0905D7CE" w14:textId="77777777" w:rsidR="00BB427B" w:rsidRDefault="00BB427B" w:rsidP="00BB427B">
      <w:pPr>
        <w:spacing w:before="60" w:after="200" w:line="259" w:lineRule="auto"/>
      </w:pPr>
      <w:r>
        <w:rPr>
          <w:rFonts w:asciiTheme="minorHAnsi" w:hAnsiTheme="minorHAnsi" w:cstheme="minorHAnsi"/>
          <w:i/>
          <w:sz w:val="20"/>
        </w:rPr>
        <w:t>Forest plot of hospital length of stay (days) across six studies. There was no significant difference between groups, although the estimate numerically favoured control (MD +4.45 days, 95% CI −2.47 to 11.36; P = 0.21), with substantial heterogeneity (I² = 87%).</w:t>
      </w:r>
    </w:p>
    <w:p w14:paraId="120A9ECE" w14:textId="77777777" w:rsidR="00C369A8" w:rsidRDefault="00C369A8" w:rsidP="0082547F">
      <w:pPr>
        <w:pStyle w:val="Heading1"/>
        <w:rPr>
          <w:rStyle w:val="BookTitle"/>
          <w:rFonts w:asciiTheme="minorHAnsi" w:hAnsiTheme="minorHAnsi" w:cstheme="minorHAnsi"/>
          <w:b/>
          <w:bCs/>
          <w:i w:val="0"/>
          <w:iCs w:val="0"/>
          <w:spacing w:val="0"/>
          <w:sz w:val="24"/>
          <w:szCs w:val="24"/>
        </w:rPr>
      </w:pPr>
    </w:p>
    <w:p w14:paraId="57694625" w14:textId="77777777" w:rsidR="00C369A8" w:rsidRDefault="00C369A8" w:rsidP="0082547F">
      <w:pPr>
        <w:pStyle w:val="Heading1"/>
        <w:rPr>
          <w:rStyle w:val="BookTitle"/>
          <w:rFonts w:asciiTheme="minorHAnsi" w:hAnsiTheme="minorHAnsi" w:cstheme="minorHAnsi"/>
          <w:b/>
          <w:bCs/>
          <w:i w:val="0"/>
          <w:iCs w:val="0"/>
          <w:spacing w:val="0"/>
          <w:sz w:val="24"/>
          <w:szCs w:val="24"/>
        </w:rPr>
      </w:pPr>
    </w:p>
    <w:p w14:paraId="2DACD5EE" w14:textId="3C7B0B32" w:rsidR="0082547F" w:rsidRDefault="0082547F" w:rsidP="0082547F">
      <w:pPr>
        <w:pStyle w:val="Heading1"/>
        <w:rPr>
          <w:rFonts w:asciiTheme="minorHAnsi" w:hAnsiTheme="minorHAnsi" w:cstheme="minorHAnsi"/>
          <w:sz w:val="24"/>
          <w:szCs w:val="24"/>
          <w:lang w:val="en-US" w:eastAsia="en-US"/>
        </w:rPr>
      </w:pPr>
      <w:r w:rsidRPr="00313F16">
        <w:rPr>
          <w:rStyle w:val="BookTitle"/>
          <w:rFonts w:asciiTheme="minorHAnsi" w:hAnsiTheme="minorHAnsi" w:cstheme="minorHAnsi"/>
          <w:b/>
          <w:bCs/>
          <w:i w:val="0"/>
          <w:iCs w:val="0"/>
          <w:spacing w:val="0"/>
          <w:sz w:val="24"/>
          <w:szCs w:val="24"/>
        </w:rPr>
        <w:t xml:space="preserve">Figure </w:t>
      </w:r>
      <w:r>
        <w:rPr>
          <w:rStyle w:val="BookTitle"/>
          <w:rFonts w:asciiTheme="minorHAnsi" w:hAnsiTheme="minorHAnsi" w:cstheme="minorHAnsi"/>
          <w:b/>
          <w:bCs/>
          <w:i w:val="0"/>
          <w:iCs w:val="0"/>
          <w:spacing w:val="0"/>
          <w:sz w:val="24"/>
          <w:szCs w:val="24"/>
        </w:rPr>
        <w:t xml:space="preserve">7b. </w:t>
      </w:r>
      <w:r w:rsidRPr="00313F16">
        <w:rPr>
          <w:rStyle w:val="BookTitle"/>
          <w:rFonts w:asciiTheme="minorHAnsi" w:hAnsiTheme="minorHAnsi" w:cstheme="minorHAnsi"/>
          <w:b/>
          <w:bCs/>
          <w:i w:val="0"/>
          <w:iCs w:val="0"/>
          <w:spacing w:val="0"/>
          <w:sz w:val="24"/>
          <w:szCs w:val="24"/>
        </w:rPr>
        <w:t xml:space="preserve">Secondary </w:t>
      </w:r>
      <w:r>
        <w:rPr>
          <w:rStyle w:val="BookTitle"/>
          <w:rFonts w:asciiTheme="minorHAnsi" w:hAnsiTheme="minorHAnsi" w:cstheme="minorHAnsi"/>
          <w:b/>
          <w:bCs/>
          <w:i w:val="0"/>
          <w:iCs w:val="0"/>
          <w:spacing w:val="0"/>
          <w:sz w:val="24"/>
          <w:szCs w:val="24"/>
        </w:rPr>
        <w:t>O</w:t>
      </w:r>
      <w:r w:rsidRPr="00313F16">
        <w:rPr>
          <w:rStyle w:val="BookTitle"/>
          <w:rFonts w:asciiTheme="minorHAnsi" w:hAnsiTheme="minorHAnsi" w:cstheme="minorHAnsi"/>
          <w:b/>
          <w:bCs/>
          <w:i w:val="0"/>
          <w:iCs w:val="0"/>
          <w:spacing w:val="0"/>
          <w:sz w:val="24"/>
          <w:szCs w:val="24"/>
        </w:rPr>
        <w:t xml:space="preserve">utcome </w:t>
      </w:r>
      <w:r>
        <w:rPr>
          <w:rStyle w:val="BookTitle"/>
          <w:rFonts w:asciiTheme="minorHAnsi" w:hAnsiTheme="minorHAnsi" w:cstheme="minorHAnsi"/>
          <w:b/>
          <w:bCs/>
          <w:i w:val="0"/>
          <w:iCs w:val="0"/>
          <w:spacing w:val="0"/>
          <w:sz w:val="24"/>
          <w:szCs w:val="24"/>
        </w:rPr>
        <w:t xml:space="preserve">#3 – </w:t>
      </w:r>
      <w:r>
        <w:rPr>
          <w:rFonts w:asciiTheme="minorHAnsi" w:hAnsiTheme="minorHAnsi" w:cstheme="minorHAnsi"/>
          <w:sz w:val="24"/>
          <w:szCs w:val="24"/>
          <w:lang w:val="en-US" w:eastAsia="en-US"/>
        </w:rPr>
        <w:t>Hospital Length</w:t>
      </w:r>
      <w:r w:rsidRPr="00313F16">
        <w:rPr>
          <w:rFonts w:asciiTheme="minorHAnsi" w:hAnsiTheme="minorHAnsi" w:cstheme="minorHAnsi"/>
          <w:sz w:val="24"/>
          <w:szCs w:val="24"/>
          <w:lang w:val="en-US" w:eastAsia="en-US"/>
        </w:rPr>
        <w:t xml:space="preserve"> of </w:t>
      </w:r>
      <w:r>
        <w:rPr>
          <w:rFonts w:asciiTheme="minorHAnsi" w:hAnsiTheme="minorHAnsi" w:cstheme="minorHAnsi"/>
          <w:sz w:val="24"/>
          <w:szCs w:val="24"/>
          <w:lang w:val="en-US" w:eastAsia="en-US"/>
        </w:rPr>
        <w:t>S</w:t>
      </w:r>
      <w:r w:rsidRPr="00313F16">
        <w:rPr>
          <w:rFonts w:asciiTheme="minorHAnsi" w:hAnsiTheme="minorHAnsi" w:cstheme="minorHAnsi"/>
          <w:sz w:val="24"/>
          <w:szCs w:val="24"/>
          <w:lang w:val="en-US" w:eastAsia="en-US"/>
        </w:rPr>
        <w:t>tay</w:t>
      </w:r>
      <w:r>
        <w:rPr>
          <w:rFonts w:asciiTheme="minorHAnsi" w:hAnsiTheme="minorHAnsi" w:cstheme="minorHAnsi"/>
          <w:sz w:val="24"/>
          <w:szCs w:val="24"/>
          <w:lang w:val="en-US" w:eastAsia="en-US"/>
        </w:rPr>
        <w:t xml:space="preserve"> </w:t>
      </w:r>
      <w:r w:rsidR="00C369A8">
        <w:rPr>
          <w:rFonts w:asciiTheme="minorHAnsi" w:hAnsiTheme="minorHAnsi" w:cstheme="minorHAnsi"/>
          <w:sz w:val="24"/>
          <w:szCs w:val="24"/>
          <w:lang w:val="en-US" w:eastAsia="en-US"/>
        </w:rPr>
        <w:t xml:space="preserve">with Sensitivity Analysis </w:t>
      </w:r>
    </w:p>
    <w:p w14:paraId="4A7E641D" w14:textId="3FF70E3F" w:rsidR="00C369A8" w:rsidRDefault="00C369A8" w:rsidP="0082547F">
      <w:pPr>
        <w:pStyle w:val="Heading1"/>
        <w:rPr>
          <w:rFonts w:asciiTheme="minorHAnsi" w:hAnsiTheme="minorHAnsi" w:cstheme="minorHAnsi"/>
          <w:sz w:val="24"/>
          <w:szCs w:val="24"/>
          <w:lang w:val="en-US" w:eastAsia="en-US"/>
        </w:rPr>
      </w:pPr>
      <w:r w:rsidRPr="005C3F28">
        <w:rPr>
          <w:noProof/>
        </w:rPr>
        <w:drawing>
          <wp:inline distT="0" distB="0" distL="0" distR="0" wp14:anchorId="03EA696C" wp14:editId="7D66FB98">
            <wp:extent cx="5943600" cy="1289050"/>
            <wp:effectExtent l="0" t="0" r="0" b="6350"/>
            <wp:docPr id="701602327" name="Picture 70160232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602327" name="Picture 701602327" descr="A screenshot of a graph&#10;&#10;Description automatically generated"/>
                    <pic:cNvPicPr/>
                  </pic:nvPicPr>
                  <pic:blipFill>
                    <a:blip r:embed="rId16"/>
                    <a:stretch>
                      <a:fillRect/>
                    </a:stretch>
                  </pic:blipFill>
                  <pic:spPr>
                    <a:xfrm>
                      <a:off x="0" y="0"/>
                      <a:ext cx="5943600" cy="1289050"/>
                    </a:xfrm>
                    <a:prstGeom prst="rect">
                      <a:avLst/>
                    </a:prstGeom>
                  </pic:spPr>
                </pic:pic>
              </a:graphicData>
            </a:graphic>
          </wp:inline>
        </w:drawing>
      </w:r>
    </w:p>
    <w:p w14:paraId="668D92AD" w14:textId="77777777" w:rsidR="00BB427B" w:rsidRDefault="00BB427B" w:rsidP="00BB427B">
      <w:pPr>
        <w:spacing w:before="60" w:after="200" w:line="259" w:lineRule="auto"/>
      </w:pPr>
      <w:r>
        <w:rPr>
          <w:rFonts w:asciiTheme="minorHAnsi" w:hAnsiTheme="minorHAnsi" w:cstheme="minorHAnsi"/>
          <w:i/>
          <w:sz w:val="20"/>
        </w:rPr>
        <w:t>Sensitivity analysis for hospital length of stay after exclusion of the single randomised trial (Combes 2025). Among the remaining studies the estimate increased and became significant (MD +7.69 days, 95% CI 3.34 to 12.04; P = 0.0005).</w:t>
      </w:r>
    </w:p>
    <w:p w14:paraId="27BF0773" w14:textId="77777777" w:rsidR="00BB427B" w:rsidRDefault="00BB427B" w:rsidP="0082547F">
      <w:pPr>
        <w:pStyle w:val="Heading1"/>
        <w:rPr>
          <w:rFonts w:asciiTheme="minorHAnsi" w:hAnsiTheme="minorHAnsi" w:cstheme="minorHAnsi"/>
          <w:sz w:val="24"/>
          <w:szCs w:val="24"/>
          <w:lang w:eastAsia="en-US"/>
        </w:rPr>
      </w:pPr>
    </w:p>
    <w:p w14:paraId="6A5410A3" w14:textId="77777777" w:rsidR="00F626B3" w:rsidRDefault="00F626B3" w:rsidP="0082547F">
      <w:pPr>
        <w:pStyle w:val="Heading1"/>
        <w:rPr>
          <w:rFonts w:asciiTheme="minorHAnsi" w:hAnsiTheme="minorHAnsi" w:cstheme="minorHAnsi"/>
          <w:sz w:val="24"/>
          <w:szCs w:val="24"/>
          <w:lang w:eastAsia="en-US"/>
        </w:rPr>
      </w:pPr>
    </w:p>
    <w:p w14:paraId="228A6237" w14:textId="77777777" w:rsidR="00F626B3" w:rsidRPr="00BB427B" w:rsidRDefault="00F626B3" w:rsidP="0082547F">
      <w:pPr>
        <w:pStyle w:val="Heading1"/>
        <w:rPr>
          <w:rFonts w:asciiTheme="minorHAnsi" w:hAnsiTheme="minorHAnsi" w:cstheme="minorHAnsi"/>
          <w:sz w:val="24"/>
          <w:szCs w:val="24"/>
          <w:lang w:eastAsia="en-US"/>
        </w:rPr>
      </w:pPr>
    </w:p>
    <w:p w14:paraId="68264FEF" w14:textId="6853EFB7" w:rsidR="0082547F" w:rsidRPr="00313F16" w:rsidRDefault="0082547F" w:rsidP="0082547F">
      <w:pPr>
        <w:pStyle w:val="Heading1"/>
        <w:rPr>
          <w:rFonts w:asciiTheme="minorHAnsi" w:hAnsiTheme="minorHAnsi" w:cstheme="minorHAnsi"/>
          <w:b w:val="0"/>
          <w:bCs w:val="0"/>
          <w:sz w:val="24"/>
          <w:szCs w:val="24"/>
        </w:rPr>
      </w:pPr>
      <w:r w:rsidRPr="00313F16">
        <w:rPr>
          <w:rStyle w:val="BookTitle"/>
          <w:rFonts w:asciiTheme="minorHAnsi" w:hAnsiTheme="minorHAnsi" w:cstheme="minorHAnsi"/>
          <w:b/>
          <w:bCs/>
          <w:i w:val="0"/>
          <w:iCs w:val="0"/>
          <w:spacing w:val="0"/>
          <w:sz w:val="24"/>
          <w:szCs w:val="24"/>
        </w:rPr>
        <w:lastRenderedPageBreak/>
        <w:t xml:space="preserve">Figure </w:t>
      </w:r>
      <w:r>
        <w:rPr>
          <w:rStyle w:val="BookTitle"/>
          <w:rFonts w:asciiTheme="minorHAnsi" w:hAnsiTheme="minorHAnsi" w:cstheme="minorHAnsi"/>
          <w:b/>
          <w:bCs/>
          <w:i w:val="0"/>
          <w:iCs w:val="0"/>
          <w:spacing w:val="0"/>
          <w:sz w:val="24"/>
          <w:szCs w:val="24"/>
        </w:rPr>
        <w:t xml:space="preserve">7c. </w:t>
      </w:r>
      <w:r w:rsidRPr="00313F16">
        <w:rPr>
          <w:rStyle w:val="BookTitle"/>
          <w:rFonts w:asciiTheme="minorHAnsi" w:hAnsiTheme="minorHAnsi" w:cstheme="minorHAnsi"/>
          <w:b/>
          <w:bCs/>
          <w:i w:val="0"/>
          <w:iCs w:val="0"/>
          <w:spacing w:val="0"/>
          <w:sz w:val="24"/>
          <w:szCs w:val="24"/>
        </w:rPr>
        <w:t xml:space="preserve">Secondary </w:t>
      </w:r>
      <w:r>
        <w:rPr>
          <w:rStyle w:val="BookTitle"/>
          <w:rFonts w:asciiTheme="minorHAnsi" w:hAnsiTheme="minorHAnsi" w:cstheme="minorHAnsi"/>
          <w:b/>
          <w:bCs/>
          <w:i w:val="0"/>
          <w:iCs w:val="0"/>
          <w:spacing w:val="0"/>
          <w:sz w:val="24"/>
          <w:szCs w:val="24"/>
        </w:rPr>
        <w:t>O</w:t>
      </w:r>
      <w:r w:rsidRPr="00313F16">
        <w:rPr>
          <w:rStyle w:val="BookTitle"/>
          <w:rFonts w:asciiTheme="minorHAnsi" w:hAnsiTheme="minorHAnsi" w:cstheme="minorHAnsi"/>
          <w:b/>
          <w:bCs/>
          <w:i w:val="0"/>
          <w:iCs w:val="0"/>
          <w:spacing w:val="0"/>
          <w:sz w:val="24"/>
          <w:szCs w:val="24"/>
        </w:rPr>
        <w:t xml:space="preserve">utcome </w:t>
      </w:r>
      <w:r>
        <w:rPr>
          <w:rStyle w:val="BookTitle"/>
          <w:rFonts w:asciiTheme="minorHAnsi" w:hAnsiTheme="minorHAnsi" w:cstheme="minorHAnsi"/>
          <w:b/>
          <w:bCs/>
          <w:i w:val="0"/>
          <w:iCs w:val="0"/>
          <w:spacing w:val="0"/>
          <w:sz w:val="24"/>
          <w:szCs w:val="24"/>
        </w:rPr>
        <w:t xml:space="preserve">#3 – </w:t>
      </w:r>
      <w:r>
        <w:rPr>
          <w:rFonts w:asciiTheme="minorHAnsi" w:hAnsiTheme="minorHAnsi" w:cstheme="minorHAnsi"/>
          <w:sz w:val="24"/>
          <w:szCs w:val="24"/>
          <w:lang w:val="en-US" w:eastAsia="en-US"/>
        </w:rPr>
        <w:t>Hospital Length</w:t>
      </w:r>
      <w:r w:rsidRPr="00313F16">
        <w:rPr>
          <w:rFonts w:asciiTheme="minorHAnsi" w:hAnsiTheme="minorHAnsi" w:cstheme="minorHAnsi"/>
          <w:sz w:val="24"/>
          <w:szCs w:val="24"/>
          <w:lang w:val="en-US" w:eastAsia="en-US"/>
        </w:rPr>
        <w:t xml:space="preserve"> of </w:t>
      </w:r>
      <w:r>
        <w:rPr>
          <w:rFonts w:asciiTheme="minorHAnsi" w:hAnsiTheme="minorHAnsi" w:cstheme="minorHAnsi"/>
          <w:sz w:val="24"/>
          <w:szCs w:val="24"/>
          <w:lang w:val="en-US" w:eastAsia="en-US"/>
        </w:rPr>
        <w:t>S</w:t>
      </w:r>
      <w:r w:rsidRPr="00313F16">
        <w:rPr>
          <w:rFonts w:asciiTheme="minorHAnsi" w:hAnsiTheme="minorHAnsi" w:cstheme="minorHAnsi"/>
          <w:sz w:val="24"/>
          <w:szCs w:val="24"/>
          <w:lang w:val="en-US" w:eastAsia="en-US"/>
        </w:rPr>
        <w:t>tay</w:t>
      </w:r>
      <w:r>
        <w:rPr>
          <w:rFonts w:asciiTheme="minorHAnsi" w:hAnsiTheme="minorHAnsi" w:cstheme="minorHAnsi"/>
          <w:sz w:val="24"/>
          <w:szCs w:val="24"/>
          <w:lang w:val="en-US" w:eastAsia="en-US"/>
        </w:rPr>
        <w:t xml:space="preserve"> </w:t>
      </w:r>
      <w:r w:rsidR="00C369A8">
        <w:rPr>
          <w:rFonts w:asciiTheme="minorHAnsi" w:hAnsiTheme="minorHAnsi" w:cstheme="minorHAnsi"/>
          <w:sz w:val="24"/>
          <w:szCs w:val="24"/>
          <w:lang w:val="en-US" w:eastAsia="en-US"/>
        </w:rPr>
        <w:t xml:space="preserve">with Subgroup Analysis </w:t>
      </w:r>
    </w:p>
    <w:p w14:paraId="0F2DB931" w14:textId="141F3A9E" w:rsidR="0082547F" w:rsidRPr="00313F16" w:rsidRDefault="00C369A8" w:rsidP="0082547F">
      <w:pPr>
        <w:pStyle w:val="Heading1"/>
        <w:rPr>
          <w:rFonts w:asciiTheme="minorHAnsi" w:hAnsiTheme="minorHAnsi" w:cstheme="minorHAnsi"/>
          <w:b w:val="0"/>
          <w:bCs w:val="0"/>
          <w:sz w:val="24"/>
          <w:szCs w:val="24"/>
        </w:rPr>
      </w:pPr>
      <w:r w:rsidRPr="00B21B98">
        <w:rPr>
          <w:noProof/>
        </w:rPr>
        <w:drawing>
          <wp:inline distT="0" distB="0" distL="0" distR="0" wp14:anchorId="49D37C71" wp14:editId="7DCDCF1D">
            <wp:extent cx="5943600" cy="2181860"/>
            <wp:effectExtent l="0" t="0" r="0" b="2540"/>
            <wp:docPr id="2"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graph&#10;&#10;Description automatically generated"/>
                    <pic:cNvPicPr/>
                  </pic:nvPicPr>
                  <pic:blipFill>
                    <a:blip r:embed="rId17"/>
                    <a:stretch>
                      <a:fillRect/>
                    </a:stretch>
                  </pic:blipFill>
                  <pic:spPr>
                    <a:xfrm>
                      <a:off x="0" y="0"/>
                      <a:ext cx="5943600" cy="2181860"/>
                    </a:xfrm>
                    <a:prstGeom prst="rect">
                      <a:avLst/>
                    </a:prstGeom>
                  </pic:spPr>
                </pic:pic>
              </a:graphicData>
            </a:graphic>
          </wp:inline>
        </w:drawing>
      </w:r>
    </w:p>
    <w:p w14:paraId="1A63E05F" w14:textId="77777777" w:rsidR="00BB427B" w:rsidRDefault="00BB427B" w:rsidP="00BB427B">
      <w:pPr>
        <w:pStyle w:val="Heading1"/>
        <w:rPr>
          <w:rStyle w:val="BookTitle"/>
          <w:rFonts w:asciiTheme="minorHAnsi" w:hAnsiTheme="minorHAnsi" w:cstheme="minorHAnsi"/>
          <w:b/>
          <w:bCs/>
          <w:i w:val="0"/>
          <w:iCs w:val="0"/>
          <w:sz w:val="24"/>
          <w:szCs w:val="24"/>
        </w:rPr>
      </w:pPr>
    </w:p>
    <w:p w14:paraId="04A36858" w14:textId="77777777" w:rsidR="00BB427B" w:rsidRDefault="00BB427B" w:rsidP="00BB427B">
      <w:pPr>
        <w:spacing w:before="60" w:after="200" w:line="259" w:lineRule="auto"/>
        <w:rPr>
          <w:rFonts w:asciiTheme="minorHAnsi" w:hAnsiTheme="minorHAnsi" w:cstheme="minorHAnsi"/>
          <w:i/>
          <w:sz w:val="20"/>
        </w:rPr>
      </w:pPr>
      <w:r>
        <w:rPr>
          <w:rFonts w:asciiTheme="minorHAnsi" w:hAnsiTheme="minorHAnsi" w:cstheme="minorHAnsi"/>
          <w:i/>
          <w:sz w:val="20"/>
        </w:rPr>
        <w:t xml:space="preserve">Forest plot of hospital length of stay stratified by study design. The observational studies indicated longer stay with </w:t>
      </w:r>
      <w:proofErr w:type="spellStart"/>
      <w:r>
        <w:rPr>
          <w:rFonts w:asciiTheme="minorHAnsi" w:hAnsiTheme="minorHAnsi" w:cstheme="minorHAnsi"/>
          <w:i/>
          <w:sz w:val="20"/>
        </w:rPr>
        <w:t>levosimendan</w:t>
      </w:r>
      <w:proofErr w:type="spellEnd"/>
      <w:r>
        <w:rPr>
          <w:rFonts w:asciiTheme="minorHAnsi" w:hAnsiTheme="minorHAnsi" w:cstheme="minorHAnsi"/>
          <w:i/>
          <w:sz w:val="20"/>
        </w:rPr>
        <w:t xml:space="preserve"> (MD +7.69 days, 95% CI 3.34 to 12.04), whereas the single randomised trial reported shorter stay (MD −7.00 days, 95% CI −12.08 to −1.92); the subgroup difference was significant (P &lt; 0.0001).</w:t>
      </w:r>
    </w:p>
    <w:p w14:paraId="75B18B77" w14:textId="77777777" w:rsidR="00F626B3" w:rsidRDefault="00F626B3" w:rsidP="00BB427B">
      <w:pPr>
        <w:spacing w:before="60" w:after="200" w:line="259" w:lineRule="auto"/>
      </w:pPr>
    </w:p>
    <w:p w14:paraId="3DE39A0A" w14:textId="29E89931" w:rsidR="00C369A8" w:rsidRDefault="00BB427B" w:rsidP="00C369A8">
      <w:pPr>
        <w:pStyle w:val="Heading1"/>
        <w:rPr>
          <w:rFonts w:asciiTheme="minorHAnsi" w:hAnsiTheme="minorHAnsi" w:cstheme="minorHAnsi"/>
          <w:lang w:val="en-US" w:eastAsia="en-US"/>
        </w:rPr>
      </w:pPr>
      <w:r>
        <w:rPr>
          <w:b w:val="0"/>
          <w:bCs w:val="0"/>
          <w:noProof/>
        </w:rPr>
        <w:drawing>
          <wp:anchor distT="0" distB="0" distL="114300" distR="114300" simplePos="0" relativeHeight="251669504" behindDoc="1" locked="0" layoutInCell="1" allowOverlap="1" wp14:anchorId="02BA61E9" wp14:editId="48836BE9">
            <wp:simplePos x="0" y="0"/>
            <wp:positionH relativeFrom="margin">
              <wp:posOffset>-152839</wp:posOffset>
            </wp:positionH>
            <wp:positionV relativeFrom="margin">
              <wp:posOffset>5138420</wp:posOffset>
            </wp:positionV>
            <wp:extent cx="6327140" cy="1297940"/>
            <wp:effectExtent l="0" t="0" r="0" b="0"/>
            <wp:wrapTight wrapText="bothSides">
              <wp:wrapPolygon edited="0">
                <wp:start x="0" y="0"/>
                <wp:lineTo x="0" y="21346"/>
                <wp:lineTo x="21548" y="21346"/>
                <wp:lineTo x="21548" y="0"/>
                <wp:lineTo x="0" y="0"/>
              </wp:wrapPolygon>
            </wp:wrapTight>
            <wp:docPr id="122485346" name="Picture 122485346" descr="A table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5346" name="Picture 122485346" descr="A table with numbers and a number of objects&#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27140" cy="1297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69A8" w:rsidRPr="00313F16">
        <w:rPr>
          <w:rStyle w:val="BookTitle"/>
          <w:rFonts w:asciiTheme="minorHAnsi" w:hAnsiTheme="minorHAnsi" w:cstheme="minorHAnsi"/>
          <w:b/>
          <w:bCs/>
          <w:i w:val="0"/>
          <w:iCs w:val="0"/>
          <w:spacing w:val="0"/>
          <w:sz w:val="24"/>
          <w:szCs w:val="24"/>
        </w:rPr>
        <w:t xml:space="preserve">Figure </w:t>
      </w:r>
      <w:r w:rsidR="00C369A8">
        <w:rPr>
          <w:rStyle w:val="BookTitle"/>
          <w:rFonts w:asciiTheme="minorHAnsi" w:hAnsiTheme="minorHAnsi" w:cstheme="minorHAnsi"/>
          <w:b/>
          <w:bCs/>
          <w:i w:val="0"/>
          <w:iCs w:val="0"/>
          <w:spacing w:val="0"/>
          <w:sz w:val="24"/>
          <w:szCs w:val="24"/>
        </w:rPr>
        <w:t xml:space="preserve">8. </w:t>
      </w:r>
      <w:r w:rsidR="00C369A8" w:rsidRPr="00313F16">
        <w:rPr>
          <w:rStyle w:val="BookTitle"/>
          <w:rFonts w:asciiTheme="minorHAnsi" w:hAnsiTheme="minorHAnsi" w:cstheme="minorHAnsi"/>
          <w:b/>
          <w:bCs/>
          <w:i w:val="0"/>
          <w:iCs w:val="0"/>
          <w:spacing w:val="0"/>
          <w:sz w:val="24"/>
          <w:szCs w:val="24"/>
        </w:rPr>
        <w:t xml:space="preserve">Secondary </w:t>
      </w:r>
      <w:r w:rsidR="00C369A8">
        <w:rPr>
          <w:rStyle w:val="BookTitle"/>
          <w:rFonts w:asciiTheme="minorHAnsi" w:hAnsiTheme="minorHAnsi" w:cstheme="minorHAnsi"/>
          <w:b/>
          <w:bCs/>
          <w:i w:val="0"/>
          <w:iCs w:val="0"/>
          <w:spacing w:val="0"/>
          <w:sz w:val="24"/>
          <w:szCs w:val="24"/>
        </w:rPr>
        <w:t>O</w:t>
      </w:r>
      <w:r w:rsidR="00C369A8" w:rsidRPr="00313F16">
        <w:rPr>
          <w:rStyle w:val="BookTitle"/>
          <w:rFonts w:asciiTheme="minorHAnsi" w:hAnsiTheme="minorHAnsi" w:cstheme="minorHAnsi"/>
          <w:b/>
          <w:bCs/>
          <w:i w:val="0"/>
          <w:iCs w:val="0"/>
          <w:spacing w:val="0"/>
          <w:sz w:val="24"/>
          <w:szCs w:val="24"/>
        </w:rPr>
        <w:t xml:space="preserve">utcome </w:t>
      </w:r>
      <w:r w:rsidR="00C369A8">
        <w:rPr>
          <w:rStyle w:val="BookTitle"/>
          <w:rFonts w:asciiTheme="minorHAnsi" w:hAnsiTheme="minorHAnsi" w:cstheme="minorHAnsi"/>
          <w:b/>
          <w:bCs/>
          <w:i w:val="0"/>
          <w:iCs w:val="0"/>
          <w:spacing w:val="0"/>
          <w:sz w:val="24"/>
          <w:szCs w:val="24"/>
        </w:rPr>
        <w:t>#</w:t>
      </w:r>
      <w:r w:rsidR="00FE3ACD">
        <w:rPr>
          <w:rStyle w:val="BookTitle"/>
          <w:rFonts w:asciiTheme="minorHAnsi" w:hAnsiTheme="minorHAnsi" w:cstheme="minorHAnsi"/>
          <w:b/>
          <w:bCs/>
          <w:i w:val="0"/>
          <w:iCs w:val="0"/>
          <w:spacing w:val="0"/>
          <w:sz w:val="24"/>
          <w:szCs w:val="24"/>
        </w:rPr>
        <w:t>4</w:t>
      </w:r>
      <w:r w:rsidR="00C369A8">
        <w:rPr>
          <w:rStyle w:val="BookTitle"/>
          <w:rFonts w:asciiTheme="minorHAnsi" w:hAnsiTheme="minorHAnsi" w:cstheme="minorHAnsi"/>
          <w:b/>
          <w:bCs/>
          <w:i w:val="0"/>
          <w:iCs w:val="0"/>
          <w:spacing w:val="0"/>
          <w:sz w:val="24"/>
          <w:szCs w:val="24"/>
        </w:rPr>
        <w:t xml:space="preserve"> – </w:t>
      </w:r>
      <w:r w:rsidR="00C369A8">
        <w:rPr>
          <w:rFonts w:asciiTheme="minorHAnsi" w:hAnsiTheme="minorHAnsi" w:cstheme="minorHAnsi"/>
          <w:lang w:val="en-US" w:eastAsia="en-US"/>
        </w:rPr>
        <w:t>Arrhythmia</w:t>
      </w:r>
      <w:r>
        <w:rPr>
          <w:rFonts w:asciiTheme="minorHAnsi" w:hAnsiTheme="minorHAnsi" w:cstheme="minorHAnsi"/>
          <w:lang w:val="en-US" w:eastAsia="en-US"/>
        </w:rPr>
        <w:t>s</w:t>
      </w:r>
    </w:p>
    <w:p w14:paraId="570B4F18" w14:textId="19836380" w:rsidR="00C369A8" w:rsidRDefault="00C369A8" w:rsidP="00C369A8">
      <w:pPr>
        <w:pStyle w:val="Heading1"/>
        <w:rPr>
          <w:rFonts w:asciiTheme="minorHAnsi" w:hAnsiTheme="minorHAnsi" w:cstheme="minorHAnsi"/>
          <w:sz w:val="24"/>
          <w:szCs w:val="24"/>
          <w:lang w:val="en-US" w:eastAsia="en-US"/>
        </w:rPr>
      </w:pPr>
    </w:p>
    <w:p w14:paraId="7A4F0287" w14:textId="5B49A42C" w:rsidR="00BB427B" w:rsidRDefault="00BB427B" w:rsidP="00BB427B">
      <w:pPr>
        <w:spacing w:before="60" w:after="200" w:line="259" w:lineRule="auto"/>
      </w:pPr>
      <w:r>
        <w:rPr>
          <w:rFonts w:asciiTheme="minorHAnsi" w:hAnsiTheme="minorHAnsi" w:cstheme="minorHAnsi"/>
          <w:i/>
          <w:sz w:val="20"/>
        </w:rPr>
        <w:t>Forest plot of arrhythmias (n/N) across three studies. There was no significant difference between groups (RR 1.21, 95% CI 0.74 to 1.99; P = 0.44), with low-to-moderate heterogeneity (I² = 37%). One contributing study reported all-cause rather than ventricular-specific arrhythmia.</w:t>
      </w:r>
    </w:p>
    <w:p w14:paraId="5A2CC2ED" w14:textId="2FE03F40" w:rsidR="00DF323C" w:rsidRPr="00C51D41" w:rsidRDefault="00DF323C" w:rsidP="00C51D41">
      <w:pPr>
        <w:pStyle w:val="Heading1"/>
        <w:rPr>
          <w:rStyle w:val="BookTitle"/>
          <w:b/>
          <w:bCs/>
          <w:i w:val="0"/>
          <w:iCs w:val="0"/>
          <w:spacing w:val="0"/>
        </w:rPr>
      </w:pPr>
    </w:p>
    <w:sectPr w:rsidR="00DF323C" w:rsidRPr="00C51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65CF3" w14:textId="77777777" w:rsidR="00C07B99" w:rsidRDefault="00C07B99" w:rsidP="00DF323C">
      <w:r>
        <w:separator/>
      </w:r>
    </w:p>
  </w:endnote>
  <w:endnote w:type="continuationSeparator" w:id="0">
    <w:p w14:paraId="1851B06C" w14:textId="77777777" w:rsidR="00C07B99" w:rsidRDefault="00C07B99" w:rsidP="00DF3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ED4D1" w14:textId="77777777" w:rsidR="00C07B99" w:rsidRDefault="00C07B99" w:rsidP="00DF323C">
      <w:r>
        <w:separator/>
      </w:r>
    </w:p>
  </w:footnote>
  <w:footnote w:type="continuationSeparator" w:id="0">
    <w:p w14:paraId="2DCB8138" w14:textId="77777777" w:rsidR="00C07B99" w:rsidRDefault="00C07B99" w:rsidP="00DF3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24070"/>
    <w:multiLevelType w:val="hybridMultilevel"/>
    <w:tmpl w:val="869206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AD1D62"/>
    <w:multiLevelType w:val="hybridMultilevel"/>
    <w:tmpl w:val="C6E0F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4C2D50"/>
    <w:multiLevelType w:val="hybridMultilevel"/>
    <w:tmpl w:val="06729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F381C"/>
    <w:multiLevelType w:val="hybridMultilevel"/>
    <w:tmpl w:val="EFFEACB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C41C97"/>
    <w:multiLevelType w:val="hybridMultilevel"/>
    <w:tmpl w:val="1D2A5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E026D0"/>
    <w:multiLevelType w:val="multilevel"/>
    <w:tmpl w:val="8AE60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5971722">
    <w:abstractNumId w:val="5"/>
  </w:num>
  <w:num w:numId="2" w16cid:durableId="1633247188">
    <w:abstractNumId w:val="0"/>
  </w:num>
  <w:num w:numId="3" w16cid:durableId="2008358486">
    <w:abstractNumId w:val="1"/>
  </w:num>
  <w:num w:numId="4" w16cid:durableId="1071197273">
    <w:abstractNumId w:val="2"/>
  </w:num>
  <w:num w:numId="5" w16cid:durableId="1580484403">
    <w:abstractNumId w:val="4"/>
  </w:num>
  <w:num w:numId="6" w16cid:durableId="1389572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32"/>
    <w:rsid w:val="00014D38"/>
    <w:rsid w:val="000230C9"/>
    <w:rsid w:val="00083D16"/>
    <w:rsid w:val="000F1F44"/>
    <w:rsid w:val="000F69BE"/>
    <w:rsid w:val="0016703F"/>
    <w:rsid w:val="0019196B"/>
    <w:rsid w:val="001A7A9F"/>
    <w:rsid w:val="002379E8"/>
    <w:rsid w:val="0028667D"/>
    <w:rsid w:val="002C4062"/>
    <w:rsid w:val="002E7899"/>
    <w:rsid w:val="00313F16"/>
    <w:rsid w:val="00381758"/>
    <w:rsid w:val="003817F9"/>
    <w:rsid w:val="00386722"/>
    <w:rsid w:val="00386C44"/>
    <w:rsid w:val="003A66D8"/>
    <w:rsid w:val="004A24C6"/>
    <w:rsid w:val="005246BB"/>
    <w:rsid w:val="00535FFE"/>
    <w:rsid w:val="00541476"/>
    <w:rsid w:val="005B6CBD"/>
    <w:rsid w:val="005D3C90"/>
    <w:rsid w:val="005D7494"/>
    <w:rsid w:val="00676F97"/>
    <w:rsid w:val="006D4DB2"/>
    <w:rsid w:val="007514ED"/>
    <w:rsid w:val="007547E5"/>
    <w:rsid w:val="007C7990"/>
    <w:rsid w:val="007D02EE"/>
    <w:rsid w:val="00820D43"/>
    <w:rsid w:val="0082547F"/>
    <w:rsid w:val="00840418"/>
    <w:rsid w:val="008614DA"/>
    <w:rsid w:val="009261D9"/>
    <w:rsid w:val="00932D32"/>
    <w:rsid w:val="00935B1D"/>
    <w:rsid w:val="0095394F"/>
    <w:rsid w:val="00995FC0"/>
    <w:rsid w:val="009C567F"/>
    <w:rsid w:val="009D3842"/>
    <w:rsid w:val="00A36F80"/>
    <w:rsid w:val="00AD7BB6"/>
    <w:rsid w:val="00B46EA2"/>
    <w:rsid w:val="00B83107"/>
    <w:rsid w:val="00BB427B"/>
    <w:rsid w:val="00BF1C32"/>
    <w:rsid w:val="00C07B99"/>
    <w:rsid w:val="00C25D47"/>
    <w:rsid w:val="00C369A8"/>
    <w:rsid w:val="00C43454"/>
    <w:rsid w:val="00C51D41"/>
    <w:rsid w:val="00C60040"/>
    <w:rsid w:val="00C71699"/>
    <w:rsid w:val="00C77948"/>
    <w:rsid w:val="00CA5576"/>
    <w:rsid w:val="00D0055C"/>
    <w:rsid w:val="00D33970"/>
    <w:rsid w:val="00D33F34"/>
    <w:rsid w:val="00D50F82"/>
    <w:rsid w:val="00DA606A"/>
    <w:rsid w:val="00DD35BD"/>
    <w:rsid w:val="00DF323C"/>
    <w:rsid w:val="00E22E8B"/>
    <w:rsid w:val="00F626B3"/>
    <w:rsid w:val="00FA5F69"/>
    <w:rsid w:val="00FC46B8"/>
    <w:rsid w:val="00FE3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3DE8C"/>
  <w15:chartTrackingRefBased/>
  <w15:docId w15:val="{F30D5DF5-BC5E-48DF-B4A1-EF0F4D38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D32"/>
    <w:pPr>
      <w:spacing w:after="0" w:line="240" w:lineRule="auto"/>
    </w:pPr>
    <w:rPr>
      <w:rFonts w:ascii="Calibri" w:hAnsi="Calibri" w:cs="Calibri"/>
      <w:sz w:val="24"/>
      <w:szCs w:val="24"/>
      <w:lang w:val="en-CA" w:eastAsia="zh-CN"/>
    </w:rPr>
  </w:style>
  <w:style w:type="paragraph" w:styleId="Heading1">
    <w:name w:val="heading 1"/>
    <w:link w:val="Heading1Char"/>
    <w:uiPriority w:val="9"/>
    <w:qFormat/>
    <w:rsid w:val="00932D32"/>
    <w:pPr>
      <w:spacing w:before="240" w:after="120" w:line="480" w:lineRule="auto"/>
      <w:outlineLvl w:val="0"/>
    </w:pPr>
    <w:rPr>
      <w:rFonts w:ascii="Calibri" w:hAnsi="Calibri" w:cs="Calibri"/>
      <w:b/>
      <w:bCs/>
      <w:color w:val="000000"/>
      <w:sz w:val="26"/>
      <w:szCs w:val="26"/>
      <w:lang w:val="en-CA" w:eastAsia="zh-CN"/>
    </w:rPr>
  </w:style>
  <w:style w:type="paragraph" w:styleId="Heading2">
    <w:name w:val="heading 2"/>
    <w:basedOn w:val="Normal"/>
    <w:next w:val="Normal"/>
    <w:link w:val="Heading2Char"/>
    <w:uiPriority w:val="9"/>
    <w:unhideWhenUsed/>
    <w:qFormat/>
    <w:rsid w:val="002C406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F323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D32"/>
    <w:rPr>
      <w:rFonts w:ascii="Calibri" w:hAnsi="Calibri" w:cs="Calibri"/>
      <w:b/>
      <w:bCs/>
      <w:color w:val="000000"/>
      <w:sz w:val="26"/>
      <w:szCs w:val="26"/>
      <w:lang w:val="en-CA" w:eastAsia="zh-CN"/>
    </w:rPr>
  </w:style>
  <w:style w:type="paragraph" w:styleId="NormalWeb">
    <w:name w:val="Normal (Web)"/>
    <w:basedOn w:val="Normal"/>
    <w:uiPriority w:val="99"/>
    <w:unhideWhenUsed/>
    <w:rsid w:val="00C51D41"/>
    <w:pPr>
      <w:spacing w:before="100" w:beforeAutospacing="1" w:after="100" w:afterAutospacing="1"/>
    </w:pPr>
    <w:rPr>
      <w:lang w:val="en-US" w:eastAsia="en-US"/>
    </w:rPr>
  </w:style>
  <w:style w:type="character" w:styleId="BookTitle">
    <w:name w:val="Book Title"/>
    <w:basedOn w:val="DefaultParagraphFont"/>
    <w:uiPriority w:val="33"/>
    <w:qFormat/>
    <w:rsid w:val="00C51D41"/>
    <w:rPr>
      <w:b/>
      <w:bCs/>
      <w:i/>
      <w:iCs/>
      <w:spacing w:val="5"/>
    </w:rPr>
  </w:style>
  <w:style w:type="paragraph" w:styleId="ListParagraph">
    <w:name w:val="List Paragraph"/>
    <w:basedOn w:val="Normal"/>
    <w:uiPriority w:val="34"/>
    <w:qFormat/>
    <w:rsid w:val="00C51D41"/>
    <w:pPr>
      <w:ind w:left="720"/>
      <w:contextualSpacing/>
    </w:pPr>
  </w:style>
  <w:style w:type="paragraph" w:styleId="NoSpacing">
    <w:name w:val="No Spacing"/>
    <w:uiPriority w:val="1"/>
    <w:qFormat/>
    <w:rsid w:val="00C51D41"/>
    <w:pPr>
      <w:spacing w:after="0" w:line="240" w:lineRule="auto"/>
    </w:pPr>
    <w:rPr>
      <w:rFonts w:ascii="Calibri" w:hAnsi="Calibri" w:cs="Calibri"/>
      <w:sz w:val="24"/>
      <w:szCs w:val="24"/>
      <w:lang w:val="en-CA" w:eastAsia="zh-CN"/>
    </w:rPr>
  </w:style>
  <w:style w:type="character" w:customStyle="1" w:styleId="Heading2Char">
    <w:name w:val="Heading 2 Char"/>
    <w:basedOn w:val="DefaultParagraphFont"/>
    <w:link w:val="Heading2"/>
    <w:uiPriority w:val="9"/>
    <w:rsid w:val="002C4062"/>
    <w:rPr>
      <w:rFonts w:asciiTheme="majorHAnsi" w:eastAsiaTheme="majorEastAsia" w:hAnsiTheme="majorHAnsi" w:cstheme="majorBidi"/>
      <w:color w:val="2F5496" w:themeColor="accent1" w:themeShade="BF"/>
      <w:sz w:val="26"/>
      <w:szCs w:val="26"/>
      <w:lang w:val="en-CA" w:eastAsia="zh-CN"/>
    </w:rPr>
  </w:style>
  <w:style w:type="character" w:customStyle="1" w:styleId="Heading3Char">
    <w:name w:val="Heading 3 Char"/>
    <w:basedOn w:val="DefaultParagraphFont"/>
    <w:link w:val="Heading3"/>
    <w:uiPriority w:val="9"/>
    <w:semiHidden/>
    <w:rsid w:val="00DF323C"/>
    <w:rPr>
      <w:rFonts w:asciiTheme="majorHAnsi" w:eastAsiaTheme="majorEastAsia" w:hAnsiTheme="majorHAnsi" w:cstheme="majorBidi"/>
      <w:color w:val="1F3763" w:themeColor="accent1" w:themeShade="7F"/>
      <w:sz w:val="24"/>
      <w:szCs w:val="24"/>
      <w:lang w:val="en-CA" w:eastAsia="zh-CN"/>
    </w:rPr>
  </w:style>
  <w:style w:type="paragraph" w:styleId="Header">
    <w:name w:val="header"/>
    <w:basedOn w:val="Normal"/>
    <w:link w:val="HeaderChar"/>
    <w:uiPriority w:val="99"/>
    <w:unhideWhenUsed/>
    <w:rsid w:val="00DF323C"/>
    <w:pPr>
      <w:tabs>
        <w:tab w:val="center" w:pos="4680"/>
        <w:tab w:val="right" w:pos="9360"/>
      </w:tabs>
    </w:pPr>
  </w:style>
  <w:style w:type="character" w:customStyle="1" w:styleId="HeaderChar">
    <w:name w:val="Header Char"/>
    <w:basedOn w:val="DefaultParagraphFont"/>
    <w:link w:val="Header"/>
    <w:uiPriority w:val="99"/>
    <w:rsid w:val="00DF323C"/>
    <w:rPr>
      <w:rFonts w:ascii="Calibri" w:hAnsi="Calibri" w:cs="Calibri"/>
      <w:sz w:val="24"/>
      <w:szCs w:val="24"/>
      <w:lang w:val="en-CA" w:eastAsia="zh-CN"/>
    </w:rPr>
  </w:style>
  <w:style w:type="paragraph" w:styleId="Footer">
    <w:name w:val="footer"/>
    <w:basedOn w:val="Normal"/>
    <w:link w:val="FooterChar"/>
    <w:uiPriority w:val="99"/>
    <w:unhideWhenUsed/>
    <w:rsid w:val="00DF323C"/>
    <w:pPr>
      <w:tabs>
        <w:tab w:val="center" w:pos="4680"/>
        <w:tab w:val="right" w:pos="9360"/>
      </w:tabs>
    </w:pPr>
  </w:style>
  <w:style w:type="character" w:customStyle="1" w:styleId="FooterChar">
    <w:name w:val="Footer Char"/>
    <w:basedOn w:val="DefaultParagraphFont"/>
    <w:link w:val="Footer"/>
    <w:uiPriority w:val="99"/>
    <w:rsid w:val="00DF323C"/>
    <w:rPr>
      <w:rFonts w:ascii="Calibri" w:hAnsi="Calibri" w:cs="Calibri"/>
      <w:sz w:val="24"/>
      <w:szCs w:val="24"/>
      <w:lang w:val="en-CA" w:eastAsia="zh-CN"/>
    </w:rPr>
  </w:style>
  <w:style w:type="paragraph" w:customStyle="1" w:styleId="my-2">
    <w:name w:val="my-2"/>
    <w:basedOn w:val="Normal"/>
    <w:rsid w:val="00D50F82"/>
    <w:pPr>
      <w:spacing w:before="100" w:beforeAutospacing="1" w:after="100" w:afterAutospacing="1"/>
    </w:pPr>
    <w:rPr>
      <w:lang w:val="en-US" w:eastAsia="en-US"/>
    </w:rPr>
  </w:style>
  <w:style w:type="character" w:styleId="Hyperlink">
    <w:name w:val="Hyperlink"/>
    <w:basedOn w:val="DefaultParagraphFont"/>
    <w:uiPriority w:val="99"/>
    <w:unhideWhenUsed/>
    <w:rsid w:val="004A24C6"/>
    <w:rPr>
      <w:color w:val="0563C1" w:themeColor="hyperlink"/>
      <w:u w:val="single"/>
    </w:rPr>
  </w:style>
  <w:style w:type="character" w:styleId="UnresolvedMention">
    <w:name w:val="Unresolved Mention"/>
    <w:basedOn w:val="DefaultParagraphFont"/>
    <w:uiPriority w:val="99"/>
    <w:semiHidden/>
    <w:unhideWhenUsed/>
    <w:rsid w:val="004A2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99532">
      <w:bodyDiv w:val="1"/>
      <w:marLeft w:val="0"/>
      <w:marRight w:val="0"/>
      <w:marTop w:val="0"/>
      <w:marBottom w:val="0"/>
      <w:divBdr>
        <w:top w:val="none" w:sz="0" w:space="0" w:color="auto"/>
        <w:left w:val="none" w:sz="0" w:space="0" w:color="auto"/>
        <w:bottom w:val="none" w:sz="0" w:space="0" w:color="auto"/>
        <w:right w:val="none" w:sz="0" w:space="0" w:color="auto"/>
      </w:divBdr>
    </w:div>
    <w:div w:id="52705157">
      <w:bodyDiv w:val="1"/>
      <w:marLeft w:val="0"/>
      <w:marRight w:val="0"/>
      <w:marTop w:val="0"/>
      <w:marBottom w:val="0"/>
      <w:divBdr>
        <w:top w:val="none" w:sz="0" w:space="0" w:color="auto"/>
        <w:left w:val="none" w:sz="0" w:space="0" w:color="auto"/>
        <w:bottom w:val="none" w:sz="0" w:space="0" w:color="auto"/>
        <w:right w:val="none" w:sz="0" w:space="0" w:color="auto"/>
      </w:divBdr>
    </w:div>
    <w:div w:id="232475336">
      <w:bodyDiv w:val="1"/>
      <w:marLeft w:val="0"/>
      <w:marRight w:val="0"/>
      <w:marTop w:val="0"/>
      <w:marBottom w:val="0"/>
      <w:divBdr>
        <w:top w:val="none" w:sz="0" w:space="0" w:color="auto"/>
        <w:left w:val="none" w:sz="0" w:space="0" w:color="auto"/>
        <w:bottom w:val="none" w:sz="0" w:space="0" w:color="auto"/>
        <w:right w:val="none" w:sz="0" w:space="0" w:color="auto"/>
      </w:divBdr>
    </w:div>
    <w:div w:id="393745186">
      <w:bodyDiv w:val="1"/>
      <w:marLeft w:val="0"/>
      <w:marRight w:val="0"/>
      <w:marTop w:val="0"/>
      <w:marBottom w:val="0"/>
      <w:divBdr>
        <w:top w:val="none" w:sz="0" w:space="0" w:color="auto"/>
        <w:left w:val="none" w:sz="0" w:space="0" w:color="auto"/>
        <w:bottom w:val="none" w:sz="0" w:space="0" w:color="auto"/>
        <w:right w:val="none" w:sz="0" w:space="0" w:color="auto"/>
      </w:divBdr>
    </w:div>
    <w:div w:id="503281675">
      <w:bodyDiv w:val="1"/>
      <w:marLeft w:val="0"/>
      <w:marRight w:val="0"/>
      <w:marTop w:val="0"/>
      <w:marBottom w:val="0"/>
      <w:divBdr>
        <w:top w:val="none" w:sz="0" w:space="0" w:color="auto"/>
        <w:left w:val="none" w:sz="0" w:space="0" w:color="auto"/>
        <w:bottom w:val="none" w:sz="0" w:space="0" w:color="auto"/>
        <w:right w:val="none" w:sz="0" w:space="0" w:color="auto"/>
      </w:divBdr>
      <w:divsChild>
        <w:div w:id="1830829280">
          <w:marLeft w:val="0"/>
          <w:marRight w:val="0"/>
          <w:marTop w:val="0"/>
          <w:marBottom w:val="0"/>
          <w:divBdr>
            <w:top w:val="single" w:sz="2" w:space="0" w:color="auto"/>
            <w:left w:val="single" w:sz="2" w:space="0" w:color="auto"/>
            <w:bottom w:val="single" w:sz="2" w:space="0" w:color="auto"/>
            <w:right w:val="single" w:sz="2" w:space="0" w:color="auto"/>
          </w:divBdr>
          <w:divsChild>
            <w:div w:id="2051295417">
              <w:marLeft w:val="0"/>
              <w:marRight w:val="0"/>
              <w:marTop w:val="0"/>
              <w:marBottom w:val="0"/>
              <w:divBdr>
                <w:top w:val="single" w:sz="2" w:space="31" w:color="auto"/>
                <w:left w:val="single" w:sz="2" w:space="31" w:color="auto"/>
                <w:bottom w:val="single" w:sz="2" w:space="31" w:color="auto"/>
                <w:right w:val="single" w:sz="2" w:space="31" w:color="auto"/>
              </w:divBdr>
              <w:divsChild>
                <w:div w:id="591365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35068357">
          <w:marLeft w:val="0"/>
          <w:marRight w:val="0"/>
          <w:marTop w:val="0"/>
          <w:marBottom w:val="0"/>
          <w:divBdr>
            <w:top w:val="single" w:sz="2" w:space="0" w:color="auto"/>
            <w:left w:val="single" w:sz="2" w:space="0" w:color="auto"/>
            <w:bottom w:val="single" w:sz="2" w:space="0" w:color="auto"/>
            <w:right w:val="single" w:sz="2" w:space="0" w:color="auto"/>
          </w:divBdr>
          <w:divsChild>
            <w:div w:id="1730882214">
              <w:marLeft w:val="0"/>
              <w:marRight w:val="0"/>
              <w:marTop w:val="0"/>
              <w:marBottom w:val="0"/>
              <w:divBdr>
                <w:top w:val="single" w:sz="2" w:space="31" w:color="auto"/>
                <w:left w:val="single" w:sz="2" w:space="31" w:color="auto"/>
                <w:bottom w:val="single" w:sz="2" w:space="31" w:color="auto"/>
                <w:right w:val="single" w:sz="2" w:space="31" w:color="auto"/>
              </w:divBdr>
              <w:divsChild>
                <w:div w:id="20945478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66594457">
      <w:bodyDiv w:val="1"/>
      <w:marLeft w:val="0"/>
      <w:marRight w:val="0"/>
      <w:marTop w:val="0"/>
      <w:marBottom w:val="0"/>
      <w:divBdr>
        <w:top w:val="none" w:sz="0" w:space="0" w:color="auto"/>
        <w:left w:val="none" w:sz="0" w:space="0" w:color="auto"/>
        <w:bottom w:val="none" w:sz="0" w:space="0" w:color="auto"/>
        <w:right w:val="none" w:sz="0" w:space="0" w:color="auto"/>
      </w:divBdr>
    </w:div>
    <w:div w:id="669798701">
      <w:bodyDiv w:val="1"/>
      <w:marLeft w:val="0"/>
      <w:marRight w:val="0"/>
      <w:marTop w:val="0"/>
      <w:marBottom w:val="0"/>
      <w:divBdr>
        <w:top w:val="none" w:sz="0" w:space="0" w:color="auto"/>
        <w:left w:val="none" w:sz="0" w:space="0" w:color="auto"/>
        <w:bottom w:val="none" w:sz="0" w:space="0" w:color="auto"/>
        <w:right w:val="none" w:sz="0" w:space="0" w:color="auto"/>
      </w:divBdr>
    </w:div>
    <w:div w:id="778334087">
      <w:bodyDiv w:val="1"/>
      <w:marLeft w:val="0"/>
      <w:marRight w:val="0"/>
      <w:marTop w:val="0"/>
      <w:marBottom w:val="0"/>
      <w:divBdr>
        <w:top w:val="none" w:sz="0" w:space="0" w:color="auto"/>
        <w:left w:val="none" w:sz="0" w:space="0" w:color="auto"/>
        <w:bottom w:val="none" w:sz="0" w:space="0" w:color="auto"/>
        <w:right w:val="none" w:sz="0" w:space="0" w:color="auto"/>
      </w:divBdr>
    </w:div>
    <w:div w:id="783383346">
      <w:bodyDiv w:val="1"/>
      <w:marLeft w:val="0"/>
      <w:marRight w:val="0"/>
      <w:marTop w:val="0"/>
      <w:marBottom w:val="0"/>
      <w:divBdr>
        <w:top w:val="none" w:sz="0" w:space="0" w:color="auto"/>
        <w:left w:val="none" w:sz="0" w:space="0" w:color="auto"/>
        <w:bottom w:val="none" w:sz="0" w:space="0" w:color="auto"/>
        <w:right w:val="none" w:sz="0" w:space="0" w:color="auto"/>
      </w:divBdr>
    </w:div>
    <w:div w:id="826047078">
      <w:bodyDiv w:val="1"/>
      <w:marLeft w:val="0"/>
      <w:marRight w:val="0"/>
      <w:marTop w:val="0"/>
      <w:marBottom w:val="0"/>
      <w:divBdr>
        <w:top w:val="none" w:sz="0" w:space="0" w:color="auto"/>
        <w:left w:val="none" w:sz="0" w:space="0" w:color="auto"/>
        <w:bottom w:val="none" w:sz="0" w:space="0" w:color="auto"/>
        <w:right w:val="none" w:sz="0" w:space="0" w:color="auto"/>
      </w:divBdr>
    </w:div>
    <w:div w:id="910427273">
      <w:bodyDiv w:val="1"/>
      <w:marLeft w:val="0"/>
      <w:marRight w:val="0"/>
      <w:marTop w:val="0"/>
      <w:marBottom w:val="0"/>
      <w:divBdr>
        <w:top w:val="none" w:sz="0" w:space="0" w:color="auto"/>
        <w:left w:val="none" w:sz="0" w:space="0" w:color="auto"/>
        <w:bottom w:val="none" w:sz="0" w:space="0" w:color="auto"/>
        <w:right w:val="none" w:sz="0" w:space="0" w:color="auto"/>
      </w:divBdr>
    </w:div>
    <w:div w:id="1009406440">
      <w:bodyDiv w:val="1"/>
      <w:marLeft w:val="0"/>
      <w:marRight w:val="0"/>
      <w:marTop w:val="0"/>
      <w:marBottom w:val="0"/>
      <w:divBdr>
        <w:top w:val="none" w:sz="0" w:space="0" w:color="auto"/>
        <w:left w:val="none" w:sz="0" w:space="0" w:color="auto"/>
        <w:bottom w:val="none" w:sz="0" w:space="0" w:color="auto"/>
        <w:right w:val="none" w:sz="0" w:space="0" w:color="auto"/>
      </w:divBdr>
    </w:div>
    <w:div w:id="1062365309">
      <w:bodyDiv w:val="1"/>
      <w:marLeft w:val="0"/>
      <w:marRight w:val="0"/>
      <w:marTop w:val="0"/>
      <w:marBottom w:val="0"/>
      <w:divBdr>
        <w:top w:val="none" w:sz="0" w:space="0" w:color="auto"/>
        <w:left w:val="none" w:sz="0" w:space="0" w:color="auto"/>
        <w:bottom w:val="none" w:sz="0" w:space="0" w:color="auto"/>
        <w:right w:val="none" w:sz="0" w:space="0" w:color="auto"/>
      </w:divBdr>
    </w:div>
    <w:div w:id="1078137798">
      <w:bodyDiv w:val="1"/>
      <w:marLeft w:val="0"/>
      <w:marRight w:val="0"/>
      <w:marTop w:val="0"/>
      <w:marBottom w:val="0"/>
      <w:divBdr>
        <w:top w:val="none" w:sz="0" w:space="0" w:color="auto"/>
        <w:left w:val="none" w:sz="0" w:space="0" w:color="auto"/>
        <w:bottom w:val="none" w:sz="0" w:space="0" w:color="auto"/>
        <w:right w:val="none" w:sz="0" w:space="0" w:color="auto"/>
      </w:divBdr>
    </w:div>
    <w:div w:id="1334719074">
      <w:bodyDiv w:val="1"/>
      <w:marLeft w:val="0"/>
      <w:marRight w:val="0"/>
      <w:marTop w:val="0"/>
      <w:marBottom w:val="0"/>
      <w:divBdr>
        <w:top w:val="none" w:sz="0" w:space="0" w:color="auto"/>
        <w:left w:val="none" w:sz="0" w:space="0" w:color="auto"/>
        <w:bottom w:val="none" w:sz="0" w:space="0" w:color="auto"/>
        <w:right w:val="none" w:sz="0" w:space="0" w:color="auto"/>
      </w:divBdr>
    </w:div>
    <w:div w:id="1415712176">
      <w:bodyDiv w:val="1"/>
      <w:marLeft w:val="0"/>
      <w:marRight w:val="0"/>
      <w:marTop w:val="0"/>
      <w:marBottom w:val="0"/>
      <w:divBdr>
        <w:top w:val="none" w:sz="0" w:space="0" w:color="auto"/>
        <w:left w:val="none" w:sz="0" w:space="0" w:color="auto"/>
        <w:bottom w:val="none" w:sz="0" w:space="0" w:color="auto"/>
        <w:right w:val="none" w:sz="0" w:space="0" w:color="auto"/>
      </w:divBdr>
    </w:div>
    <w:div w:id="1491680406">
      <w:bodyDiv w:val="1"/>
      <w:marLeft w:val="0"/>
      <w:marRight w:val="0"/>
      <w:marTop w:val="0"/>
      <w:marBottom w:val="0"/>
      <w:divBdr>
        <w:top w:val="none" w:sz="0" w:space="0" w:color="auto"/>
        <w:left w:val="none" w:sz="0" w:space="0" w:color="auto"/>
        <w:bottom w:val="none" w:sz="0" w:space="0" w:color="auto"/>
        <w:right w:val="none" w:sz="0" w:space="0" w:color="auto"/>
      </w:divBdr>
    </w:div>
    <w:div w:id="1504197825">
      <w:bodyDiv w:val="1"/>
      <w:marLeft w:val="0"/>
      <w:marRight w:val="0"/>
      <w:marTop w:val="0"/>
      <w:marBottom w:val="0"/>
      <w:divBdr>
        <w:top w:val="none" w:sz="0" w:space="0" w:color="auto"/>
        <w:left w:val="none" w:sz="0" w:space="0" w:color="auto"/>
        <w:bottom w:val="none" w:sz="0" w:space="0" w:color="auto"/>
        <w:right w:val="none" w:sz="0" w:space="0" w:color="auto"/>
      </w:divBdr>
    </w:div>
    <w:div w:id="1541357182">
      <w:bodyDiv w:val="1"/>
      <w:marLeft w:val="0"/>
      <w:marRight w:val="0"/>
      <w:marTop w:val="0"/>
      <w:marBottom w:val="0"/>
      <w:divBdr>
        <w:top w:val="none" w:sz="0" w:space="0" w:color="auto"/>
        <w:left w:val="none" w:sz="0" w:space="0" w:color="auto"/>
        <w:bottom w:val="none" w:sz="0" w:space="0" w:color="auto"/>
        <w:right w:val="none" w:sz="0" w:space="0" w:color="auto"/>
      </w:divBdr>
    </w:div>
    <w:div w:id="1556232843">
      <w:bodyDiv w:val="1"/>
      <w:marLeft w:val="0"/>
      <w:marRight w:val="0"/>
      <w:marTop w:val="0"/>
      <w:marBottom w:val="0"/>
      <w:divBdr>
        <w:top w:val="none" w:sz="0" w:space="0" w:color="auto"/>
        <w:left w:val="none" w:sz="0" w:space="0" w:color="auto"/>
        <w:bottom w:val="none" w:sz="0" w:space="0" w:color="auto"/>
        <w:right w:val="none" w:sz="0" w:space="0" w:color="auto"/>
      </w:divBdr>
    </w:div>
    <w:div w:id="202586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panose="020F05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33</Pages>
  <Words>7951</Words>
  <Characters>45326</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WAJAHAT SUKHERA</dc:creator>
  <cp:keywords/>
  <dc:description/>
  <cp:lastModifiedBy>Woode, David</cp:lastModifiedBy>
  <cp:revision>10</cp:revision>
  <dcterms:created xsi:type="dcterms:W3CDTF">2026-08-18T14:33:00Z</dcterms:created>
  <dcterms:modified xsi:type="dcterms:W3CDTF">2026-09-04T16:56:00Z</dcterms:modified>
</cp:coreProperties>
</file>