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color w:val="212529"/>
          <w:sz w:val="24"/>
          <w:szCs w:val="24"/>
          <w:highlight w:val="white"/>
        </w:rPr>
      </w:pPr>
      <w:r w:rsidDel="00000000" w:rsidR="00000000" w:rsidRPr="00000000">
        <w:rPr>
          <w:rFonts w:ascii="Times New Roman" w:cs="Times New Roman" w:eastAsia="Times New Roman" w:hAnsi="Times New Roman"/>
          <w:b w:val="1"/>
          <w:bCs w:val="1"/>
          <w:color w:val="212529"/>
          <w:sz w:val="24"/>
          <w:szCs w:val="24"/>
          <w:highlight w:val="white"/>
          <w:rtl w:val="0"/>
        </w:rPr>
        <w:t xml:space="preserve">Title: Efficacy and Safety of Lacosamide in Adults with Peripheral Neuropathic Pain: A Systematic Review and Meta-Analysis of Randomized Controlled Trials</w:t>
      </w:r>
    </w:p>
    <w:p w:rsidR="00000000" w:rsidDel="00000000" w:rsidP="00000000" w:rsidRDefault="00000000" w:rsidRPr="00000000" w14:paraId="00000002">
      <w:pPr>
        <w:rPr>
          <w:rFonts w:ascii="Times New Roman" w:cs="Times New Roman" w:eastAsia="Times New Roman" w:hAnsi="Times New Roman"/>
          <w:b w:val="1"/>
          <w:bCs w:val="1"/>
          <w:color w:val="212529"/>
          <w:sz w:val="24"/>
          <w:szCs w:val="24"/>
          <w:shd w:fill="fafafa" w:val="clear"/>
        </w:rPr>
      </w:pPr>
      <w:r w:rsidDel="00000000" w:rsidR="00000000" w:rsidRPr="00000000">
        <w:rPr>
          <w:rtl w:val="0"/>
        </w:rPr>
      </w:r>
    </w:p>
    <w:p w:rsidR="00000000" w:rsidDel="00000000" w:rsidP="00000000" w:rsidRDefault="00000000" w:rsidRPr="00000000" w14:paraId="00000003">
      <w:pPr>
        <w:numPr>
          <w:ilvl w:val="0"/>
          <w:numId w:val="2"/>
        </w:numPr>
        <w:ind w:left="720" w:hanging="36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Name: Faisal Muzaffar</w:t>
      </w:r>
    </w:p>
    <w:p w:rsidR="00000000" w:rsidDel="00000000" w:rsidP="00000000" w:rsidRDefault="00000000" w:rsidRPr="00000000" w14:paraId="00000004">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Email: </w:t>
      </w:r>
      <w:hyperlink r:id="rId6">
        <w:r w:rsidDel="00000000" w:rsidR="00000000" w:rsidRPr="00000000">
          <w:rPr>
            <w:rFonts w:ascii="Times New Roman" w:cs="Times New Roman" w:eastAsia="Times New Roman" w:hAnsi="Times New Roman"/>
            <w:color w:val="1155cc"/>
            <w:sz w:val="24"/>
            <w:szCs w:val="24"/>
            <w:highlight w:val="white"/>
            <w:u w:val="single"/>
            <w:rtl w:val="0"/>
          </w:rPr>
          <w:t xml:space="preserve">faisalmuzaffar35@gmail.com</w:t>
        </w:r>
      </w:hyperlink>
      <w:r w:rsidDel="00000000" w:rsidR="00000000" w:rsidRPr="00000000">
        <w:rPr>
          <w:rFonts w:ascii="Times New Roman" w:cs="Times New Roman" w:eastAsia="Times New Roman" w:hAnsi="Times New Roman"/>
          <w:color w:val="212529"/>
          <w:sz w:val="24"/>
          <w:szCs w:val="24"/>
          <w:highlight w:val="white"/>
          <w:rtl w:val="0"/>
        </w:rPr>
        <w:t xml:space="preserve"> </w:t>
      </w:r>
    </w:p>
    <w:p w:rsidR="00000000" w:rsidDel="00000000" w:rsidP="00000000" w:rsidRDefault="00000000" w:rsidRPr="00000000" w14:paraId="00000005">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Institute: Multan Medical and Dental College</w:t>
      </w:r>
    </w:p>
    <w:p w:rsidR="00000000" w:rsidDel="00000000" w:rsidP="00000000" w:rsidRDefault="00000000" w:rsidRPr="00000000" w14:paraId="00000006">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ORCID: 0009-0004-5170-2640</w:t>
      </w:r>
    </w:p>
    <w:p w:rsidR="00000000" w:rsidDel="00000000" w:rsidP="00000000" w:rsidRDefault="00000000" w:rsidRPr="00000000" w14:paraId="00000007">
      <w:pPr>
        <w:ind w:left="720" w:firstLine="0"/>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08">
      <w:pPr>
        <w:numPr>
          <w:ilvl w:val="0"/>
          <w:numId w:val="2"/>
        </w:numPr>
        <w:ind w:left="720" w:hanging="36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Name: Preeti Advani</w:t>
      </w:r>
    </w:p>
    <w:p w:rsidR="00000000" w:rsidDel="00000000" w:rsidP="00000000" w:rsidRDefault="00000000" w:rsidRPr="00000000" w14:paraId="00000009">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Institute: Jinnah Sindh Medical University, Karachi, Pakistan</w:t>
      </w:r>
    </w:p>
    <w:p w:rsidR="00000000" w:rsidDel="00000000" w:rsidP="00000000" w:rsidRDefault="00000000" w:rsidRPr="00000000" w14:paraId="0000000A">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Email address: </w:t>
      </w:r>
      <w:hyperlink r:id="rId7">
        <w:r w:rsidDel="00000000" w:rsidR="00000000" w:rsidRPr="00000000">
          <w:rPr>
            <w:rFonts w:ascii="Times New Roman" w:cs="Times New Roman" w:eastAsia="Times New Roman" w:hAnsi="Times New Roman"/>
            <w:color w:val="1155cc"/>
            <w:sz w:val="24"/>
            <w:szCs w:val="24"/>
            <w:highlight w:val="white"/>
            <w:u w:val="single"/>
            <w:rtl w:val="0"/>
          </w:rPr>
          <w:t xml:space="preserve">preetiadvani65@gmail.com</w:t>
        </w:r>
      </w:hyperlink>
      <w:r w:rsidDel="00000000" w:rsidR="00000000" w:rsidRPr="00000000">
        <w:rPr>
          <w:rFonts w:ascii="Times New Roman" w:cs="Times New Roman" w:eastAsia="Times New Roman" w:hAnsi="Times New Roman"/>
          <w:color w:val="212529"/>
          <w:sz w:val="24"/>
          <w:szCs w:val="24"/>
          <w:highlight w:val="white"/>
          <w:rtl w:val="0"/>
        </w:rPr>
        <w:t xml:space="preserve">  </w:t>
      </w:r>
    </w:p>
    <w:p w:rsidR="00000000" w:rsidDel="00000000" w:rsidP="00000000" w:rsidRDefault="00000000" w:rsidRPr="00000000" w14:paraId="0000000B">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ORCID: 0009-0005-7036-8788</w:t>
      </w:r>
    </w:p>
    <w:p w:rsidR="00000000" w:rsidDel="00000000" w:rsidP="00000000" w:rsidRDefault="00000000" w:rsidRPr="00000000" w14:paraId="0000000C">
      <w:pPr>
        <w:ind w:left="720" w:firstLine="0"/>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0D">
      <w:pPr>
        <w:numPr>
          <w:ilvl w:val="0"/>
          <w:numId w:val="2"/>
        </w:numPr>
        <w:ind w:left="720" w:hanging="36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Name: David Woode</w:t>
      </w:r>
    </w:p>
    <w:p w:rsidR="00000000" w:rsidDel="00000000" w:rsidP="00000000" w:rsidRDefault="00000000" w:rsidRPr="00000000" w14:paraId="0000000E">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Institute: Xavier University School of Medicine, Oranjestad, Aruba</w:t>
      </w:r>
    </w:p>
    <w:p w:rsidR="00000000" w:rsidDel="00000000" w:rsidP="00000000" w:rsidRDefault="00000000" w:rsidRPr="00000000" w14:paraId="0000000F">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Email: </w:t>
      </w:r>
      <w:hyperlink r:id="rId8">
        <w:r w:rsidDel="00000000" w:rsidR="00000000" w:rsidRPr="00000000">
          <w:rPr>
            <w:rFonts w:ascii="Times New Roman" w:cs="Times New Roman" w:eastAsia="Times New Roman" w:hAnsi="Times New Roman"/>
            <w:color w:val="1155cc"/>
            <w:sz w:val="24"/>
            <w:szCs w:val="24"/>
            <w:highlight w:val="white"/>
            <w:u w:val="single"/>
            <w:rtl w:val="0"/>
          </w:rPr>
          <w:t xml:space="preserve">Medwoode@gmail.com</w:t>
        </w:r>
      </w:hyperlink>
      <w:r w:rsidDel="00000000" w:rsidR="00000000" w:rsidRPr="00000000">
        <w:rPr>
          <w:rFonts w:ascii="Times New Roman" w:cs="Times New Roman" w:eastAsia="Times New Roman" w:hAnsi="Times New Roman"/>
          <w:color w:val="212529"/>
          <w:sz w:val="24"/>
          <w:szCs w:val="24"/>
          <w:highlight w:val="white"/>
          <w:rtl w:val="0"/>
        </w:rPr>
        <w:t xml:space="preserve"> </w:t>
      </w:r>
    </w:p>
    <w:p w:rsidR="00000000" w:rsidDel="00000000" w:rsidP="00000000" w:rsidRDefault="00000000" w:rsidRPr="00000000" w14:paraId="00000010">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ORCID: 0009-0002-3592-1865</w:t>
      </w:r>
    </w:p>
    <w:p w:rsidR="00000000" w:rsidDel="00000000" w:rsidP="00000000" w:rsidRDefault="00000000" w:rsidRPr="00000000" w14:paraId="00000011">
      <w:pPr>
        <w:ind w:left="720" w:firstLine="0"/>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12">
      <w:pPr>
        <w:numPr>
          <w:ilvl w:val="0"/>
          <w:numId w:val="2"/>
        </w:numPr>
        <w:ind w:left="720" w:hanging="36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Name: Eman Fatima </w:t>
      </w:r>
    </w:p>
    <w:p w:rsidR="00000000" w:rsidDel="00000000" w:rsidP="00000000" w:rsidRDefault="00000000" w:rsidRPr="00000000" w14:paraId="00000013">
      <w:pPr>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            Institute: Allama Iqbal Medical College, Lahore, Pakistan.</w:t>
      </w:r>
    </w:p>
    <w:p w:rsidR="00000000" w:rsidDel="00000000" w:rsidP="00000000" w:rsidRDefault="00000000" w:rsidRPr="00000000" w14:paraId="00000014">
      <w:pPr>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            Email address: </w:t>
      </w:r>
      <w:hyperlink r:id="rId9">
        <w:r w:rsidDel="00000000" w:rsidR="00000000" w:rsidRPr="00000000">
          <w:rPr>
            <w:rFonts w:ascii="Times New Roman" w:cs="Times New Roman" w:eastAsia="Times New Roman" w:hAnsi="Times New Roman"/>
            <w:color w:val="1155cc"/>
            <w:sz w:val="24"/>
            <w:szCs w:val="24"/>
            <w:highlight w:val="white"/>
            <w:u w:val="single"/>
            <w:rtl w:val="0"/>
          </w:rPr>
          <w:t xml:space="preserve">emanf7655@gmail.com</w:t>
        </w:r>
      </w:hyperlink>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            ORCID: 0009-0003-0655-9040</w:t>
      </w:r>
    </w:p>
    <w:p w:rsidR="00000000" w:rsidDel="00000000" w:rsidP="00000000" w:rsidRDefault="00000000" w:rsidRPr="00000000" w14:paraId="00000016">
      <w:pPr>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17">
      <w:pPr>
        <w:numPr>
          <w:ilvl w:val="0"/>
          <w:numId w:val="2"/>
        </w:numPr>
        <w:ind w:left="720" w:hanging="360"/>
        <w:rPr>
          <w:rFonts w:ascii="Times New Roman" w:cs="Times New Roman" w:eastAsia="Times New Roman" w:hAnsi="Times New Roman"/>
          <w:color w:val="212529"/>
          <w:sz w:val="26"/>
          <w:szCs w:val="26"/>
          <w:highlight w:val="white"/>
        </w:rPr>
      </w:pPr>
      <w:r w:rsidDel="00000000" w:rsidR="00000000" w:rsidRPr="00000000">
        <w:rPr>
          <w:rFonts w:ascii="Times New Roman" w:cs="Times New Roman" w:eastAsia="Times New Roman" w:hAnsi="Times New Roman"/>
          <w:color w:val="212529"/>
          <w:sz w:val="26"/>
          <w:szCs w:val="26"/>
          <w:highlight w:val="white"/>
          <w:rtl w:val="0"/>
        </w:rPr>
        <w:t xml:space="preserve">Name: Saddam Hussain </w:t>
      </w:r>
    </w:p>
    <w:p w:rsidR="00000000" w:rsidDel="00000000" w:rsidP="00000000" w:rsidRDefault="00000000" w:rsidRPr="00000000" w14:paraId="00000018">
      <w:pPr>
        <w:ind w:left="720" w:firstLine="0"/>
        <w:rPr>
          <w:rFonts w:ascii="Times New Roman" w:cs="Times New Roman" w:eastAsia="Times New Roman" w:hAnsi="Times New Roman"/>
          <w:color w:val="212529"/>
          <w:sz w:val="26"/>
          <w:szCs w:val="26"/>
          <w:highlight w:val="white"/>
        </w:rPr>
      </w:pPr>
      <w:r w:rsidDel="00000000" w:rsidR="00000000" w:rsidRPr="00000000">
        <w:rPr>
          <w:rFonts w:ascii="Times New Roman" w:cs="Times New Roman" w:eastAsia="Times New Roman" w:hAnsi="Times New Roman"/>
          <w:color w:val="212529"/>
          <w:sz w:val="26"/>
          <w:szCs w:val="26"/>
          <w:highlight w:val="white"/>
          <w:rtl w:val="0"/>
        </w:rPr>
        <w:t xml:space="preserve">‎Institute: Bakhtawar Amin Medical and Dental College </w:t>
      </w:r>
    </w:p>
    <w:p w:rsidR="00000000" w:rsidDel="00000000" w:rsidP="00000000" w:rsidRDefault="00000000" w:rsidRPr="00000000" w14:paraId="00000019">
      <w:pPr>
        <w:ind w:left="720" w:firstLine="0"/>
        <w:rPr>
          <w:rFonts w:ascii="Times New Roman" w:cs="Times New Roman" w:eastAsia="Times New Roman" w:hAnsi="Times New Roman"/>
          <w:color w:val="212529"/>
          <w:sz w:val="26"/>
          <w:szCs w:val="26"/>
          <w:highlight w:val="white"/>
        </w:rPr>
      </w:pPr>
      <w:r w:rsidDel="00000000" w:rsidR="00000000" w:rsidRPr="00000000">
        <w:rPr>
          <w:rFonts w:ascii="Times New Roman" w:cs="Times New Roman" w:eastAsia="Times New Roman" w:hAnsi="Times New Roman"/>
          <w:color w:val="212529"/>
          <w:sz w:val="26"/>
          <w:szCs w:val="26"/>
          <w:highlight w:val="white"/>
          <w:rtl w:val="0"/>
        </w:rPr>
        <w:t xml:space="preserve">Affiliated Hospital: Bakhtawar Amin Memorial Trust Hospital </w:t>
      </w:r>
    </w:p>
    <w:p w:rsidR="00000000" w:rsidDel="00000000" w:rsidP="00000000" w:rsidRDefault="00000000" w:rsidRPr="00000000" w14:paraId="0000001A">
      <w:pPr>
        <w:ind w:left="720" w:firstLine="0"/>
        <w:rPr>
          <w:rFonts w:ascii="Times New Roman" w:cs="Times New Roman" w:eastAsia="Times New Roman" w:hAnsi="Times New Roman"/>
          <w:color w:val="212529"/>
          <w:sz w:val="26"/>
          <w:szCs w:val="26"/>
          <w:highlight w:val="white"/>
        </w:rPr>
      </w:pPr>
      <w:r w:rsidDel="00000000" w:rsidR="00000000" w:rsidRPr="00000000">
        <w:rPr>
          <w:rFonts w:ascii="Times New Roman" w:cs="Times New Roman" w:eastAsia="Times New Roman" w:hAnsi="Times New Roman"/>
          <w:color w:val="212529"/>
          <w:sz w:val="26"/>
          <w:szCs w:val="26"/>
          <w:highlight w:val="white"/>
          <w:rtl w:val="0"/>
        </w:rPr>
        <w:t xml:space="preserve">‎Email: maliksaddamhussain228@gmail.com</w:t>
      </w:r>
    </w:p>
    <w:p w:rsidR="00000000" w:rsidDel="00000000" w:rsidP="00000000" w:rsidRDefault="00000000" w:rsidRPr="00000000" w14:paraId="0000001B">
      <w:pPr>
        <w:ind w:left="720" w:firstLine="0"/>
        <w:rPr>
          <w:rFonts w:ascii="Times New Roman" w:cs="Times New Roman" w:eastAsia="Times New Roman" w:hAnsi="Times New Roman"/>
          <w:color w:val="212529"/>
          <w:sz w:val="26"/>
          <w:szCs w:val="26"/>
          <w:highlight w:val="white"/>
        </w:rPr>
      </w:pPr>
      <w:r w:rsidDel="00000000" w:rsidR="00000000" w:rsidRPr="00000000">
        <w:rPr>
          <w:rFonts w:ascii="Times New Roman" w:cs="Times New Roman" w:eastAsia="Times New Roman" w:hAnsi="Times New Roman"/>
          <w:color w:val="212529"/>
          <w:sz w:val="26"/>
          <w:szCs w:val="26"/>
          <w:highlight w:val="white"/>
          <w:rtl w:val="0"/>
        </w:rPr>
        <w:t xml:space="preserve">‎Orcid: 0009-0002-0675-0059</w:t>
      </w:r>
    </w:p>
    <w:p w:rsidR="00000000" w:rsidDel="00000000" w:rsidP="00000000" w:rsidRDefault="00000000" w:rsidRPr="00000000" w14:paraId="0000001C">
      <w:pPr>
        <w:ind w:left="720" w:firstLine="0"/>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1D">
      <w:pPr>
        <w:numPr>
          <w:ilvl w:val="0"/>
          <w:numId w:val="2"/>
        </w:numPr>
        <w:ind w:left="720" w:hanging="36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Name: Muhammad Abubaker Rafique    </w:t>
      </w:r>
    </w:p>
    <w:p w:rsidR="00000000" w:rsidDel="00000000" w:rsidP="00000000" w:rsidRDefault="00000000" w:rsidRPr="00000000" w14:paraId="0000001E">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Institute: Bakhtawar Amin Medical and Dental College, Multan.                                           Email: </w:t>
      </w:r>
      <w:hyperlink r:id="rId10">
        <w:r w:rsidDel="00000000" w:rsidR="00000000" w:rsidRPr="00000000">
          <w:rPr>
            <w:rFonts w:ascii="Times New Roman" w:cs="Times New Roman" w:eastAsia="Times New Roman" w:hAnsi="Times New Roman"/>
            <w:color w:val="1155cc"/>
            <w:sz w:val="24"/>
            <w:szCs w:val="24"/>
            <w:highlight w:val="white"/>
            <w:u w:val="single"/>
            <w:rtl w:val="0"/>
          </w:rPr>
          <w:t xml:space="preserve">abubakerrafique79@gmail.com</w:t>
        </w:r>
      </w:hyperlink>
      <w:r w:rsidDel="00000000" w:rsidR="00000000" w:rsidRPr="00000000">
        <w:rPr>
          <w:rFonts w:ascii="Times New Roman" w:cs="Times New Roman" w:eastAsia="Times New Roman" w:hAnsi="Times New Roman"/>
          <w:color w:val="212529"/>
          <w:sz w:val="24"/>
          <w:szCs w:val="24"/>
          <w:highlight w:val="white"/>
          <w:rtl w:val="0"/>
        </w:rPr>
        <w:t xml:space="preserve">       </w:t>
      </w:r>
    </w:p>
    <w:p w:rsidR="00000000" w:rsidDel="00000000" w:rsidP="00000000" w:rsidRDefault="00000000" w:rsidRPr="00000000" w14:paraId="0000001F">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ORCID: </w:t>
      </w:r>
      <w:r w:rsidDel="00000000" w:rsidR="00000000" w:rsidRPr="00000000">
        <w:rPr>
          <w:color w:val="494a4c"/>
          <w:sz w:val="23"/>
          <w:szCs w:val="23"/>
          <w:highlight w:val="white"/>
          <w:rtl w:val="0"/>
        </w:rPr>
        <w:t xml:space="preserve">0009-0002-8915-8201</w:t>
      </w:r>
      <w:r w:rsidDel="00000000" w:rsidR="00000000" w:rsidRPr="00000000">
        <w:rPr>
          <w:rFonts w:ascii="Times New Roman" w:cs="Times New Roman" w:eastAsia="Times New Roman" w:hAnsi="Times New Roman"/>
          <w:color w:val="212529"/>
          <w:sz w:val="24"/>
          <w:szCs w:val="24"/>
          <w:highlight w:val="white"/>
          <w:rtl w:val="0"/>
        </w:rPr>
        <w:t xml:space="preserve">       </w:t>
      </w:r>
    </w:p>
    <w:p w:rsidR="00000000" w:rsidDel="00000000" w:rsidP="00000000" w:rsidRDefault="00000000" w:rsidRPr="00000000" w14:paraId="00000020">
      <w:pPr>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21">
      <w:pPr>
        <w:numPr>
          <w:ilvl w:val="0"/>
          <w:numId w:val="2"/>
        </w:numPr>
        <w:ind w:left="720" w:hanging="36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Name: Shahram Raza Shouq </w:t>
      </w:r>
    </w:p>
    <w:p w:rsidR="00000000" w:rsidDel="00000000" w:rsidP="00000000" w:rsidRDefault="00000000" w:rsidRPr="00000000" w14:paraId="00000022">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Institute: Bakhtawar Amin Medical and Dental College, Multan</w:t>
      </w:r>
    </w:p>
    <w:p w:rsidR="00000000" w:rsidDel="00000000" w:rsidP="00000000" w:rsidRDefault="00000000" w:rsidRPr="00000000" w14:paraId="00000023">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Email address: </w:t>
      </w:r>
      <w:hyperlink r:id="rId11">
        <w:r w:rsidDel="00000000" w:rsidR="00000000" w:rsidRPr="00000000">
          <w:rPr>
            <w:rFonts w:ascii="Times New Roman" w:cs="Times New Roman" w:eastAsia="Times New Roman" w:hAnsi="Times New Roman"/>
            <w:color w:val="1155cc"/>
            <w:sz w:val="24"/>
            <w:szCs w:val="24"/>
            <w:highlight w:val="white"/>
            <w:u w:val="single"/>
            <w:rtl w:val="0"/>
          </w:rPr>
          <w:t xml:space="preserve">srshouq70@gmail.com</w:t>
        </w:r>
      </w:hyperlink>
      <w:r w:rsidDel="00000000" w:rsidR="00000000" w:rsidRPr="00000000">
        <w:rPr>
          <w:rtl w:val="0"/>
        </w:rPr>
      </w:r>
    </w:p>
    <w:p w:rsidR="00000000" w:rsidDel="00000000" w:rsidP="00000000" w:rsidRDefault="00000000" w:rsidRPr="00000000" w14:paraId="00000024">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ORCID ID: 0009-0003-2441-8452</w:t>
      </w:r>
    </w:p>
    <w:p w:rsidR="00000000" w:rsidDel="00000000" w:rsidP="00000000" w:rsidRDefault="00000000" w:rsidRPr="00000000" w14:paraId="00000025">
      <w:pPr>
        <w:ind w:left="720" w:firstLine="0"/>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26">
      <w:pPr>
        <w:numPr>
          <w:ilvl w:val="0"/>
          <w:numId w:val="2"/>
        </w:numPr>
        <w:ind w:left="720" w:hanging="36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Name: Alishba Nadeem                 </w:t>
      </w:r>
    </w:p>
    <w:p w:rsidR="00000000" w:rsidDel="00000000" w:rsidP="00000000" w:rsidRDefault="00000000" w:rsidRPr="00000000" w14:paraId="00000027">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Institute : Bakhtawar Amin Medical and Dental College, Multan, Pakistan                    Email: </w:t>
      </w:r>
      <w:hyperlink r:id="rId12">
        <w:r w:rsidDel="00000000" w:rsidR="00000000" w:rsidRPr="00000000">
          <w:rPr>
            <w:rFonts w:ascii="Times New Roman" w:cs="Times New Roman" w:eastAsia="Times New Roman" w:hAnsi="Times New Roman"/>
            <w:color w:val="1155cc"/>
            <w:sz w:val="24"/>
            <w:szCs w:val="24"/>
            <w:highlight w:val="white"/>
            <w:u w:val="single"/>
            <w:rtl w:val="0"/>
          </w:rPr>
          <w:t xml:space="preserve">alishbanadeem017@gmail.com</w:t>
        </w:r>
      </w:hyperlink>
      <w:r w:rsidDel="00000000" w:rsidR="00000000" w:rsidRPr="00000000">
        <w:rPr>
          <w:rtl w:val="0"/>
        </w:rPr>
      </w:r>
    </w:p>
    <w:p w:rsidR="00000000" w:rsidDel="00000000" w:rsidP="00000000" w:rsidRDefault="00000000" w:rsidRPr="00000000" w14:paraId="00000028">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ORCID ID: 0009-0000-1998-9427</w:t>
      </w:r>
    </w:p>
    <w:p w:rsidR="00000000" w:rsidDel="00000000" w:rsidP="00000000" w:rsidRDefault="00000000" w:rsidRPr="00000000" w14:paraId="00000029">
      <w:pPr>
        <w:ind w:left="720" w:firstLine="0"/>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2A">
      <w:pPr>
        <w:numPr>
          <w:ilvl w:val="0"/>
          <w:numId w:val="2"/>
        </w:numPr>
        <w:ind w:left="720" w:hanging="36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Name: Neha Mehmood</w:t>
      </w:r>
    </w:p>
    <w:p w:rsidR="00000000" w:rsidDel="00000000" w:rsidP="00000000" w:rsidRDefault="00000000" w:rsidRPr="00000000" w14:paraId="0000002B">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Institute: Rawalpindi Medical University, Rawalpindi, Pakistan</w:t>
      </w:r>
    </w:p>
    <w:p w:rsidR="00000000" w:rsidDel="00000000" w:rsidP="00000000" w:rsidRDefault="00000000" w:rsidRPr="00000000" w14:paraId="0000002C">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Email: </w:t>
      </w:r>
      <w:hyperlink r:id="rId13">
        <w:r w:rsidDel="00000000" w:rsidR="00000000" w:rsidRPr="00000000">
          <w:rPr>
            <w:rFonts w:ascii="Times New Roman" w:cs="Times New Roman" w:eastAsia="Times New Roman" w:hAnsi="Times New Roman"/>
            <w:color w:val="1155cc"/>
            <w:sz w:val="24"/>
            <w:szCs w:val="24"/>
            <w:highlight w:val="white"/>
            <w:u w:val="single"/>
            <w:rtl w:val="0"/>
          </w:rPr>
          <w:t xml:space="preserve">nehamehmood01@gmail.com</w:t>
        </w:r>
      </w:hyperlink>
      <w:r w:rsidDel="00000000" w:rsidR="00000000" w:rsidRPr="00000000">
        <w:rPr>
          <w:rFonts w:ascii="Times New Roman" w:cs="Times New Roman" w:eastAsia="Times New Roman" w:hAnsi="Times New Roman"/>
          <w:color w:val="212529"/>
          <w:sz w:val="24"/>
          <w:szCs w:val="24"/>
          <w:highlight w:val="white"/>
          <w:rtl w:val="0"/>
        </w:rPr>
        <w:t xml:space="preserve"> </w:t>
      </w:r>
    </w:p>
    <w:p w:rsidR="00000000" w:rsidDel="00000000" w:rsidP="00000000" w:rsidRDefault="00000000" w:rsidRPr="00000000" w14:paraId="0000002D">
      <w:pPr>
        <w:ind w:left="720" w:firstLine="0"/>
        <w:rPr>
          <w:rFonts w:ascii="Times New Roman" w:cs="Times New Roman" w:eastAsia="Times New Roman" w:hAnsi="Times New Roman"/>
          <w:color w:val="212529"/>
          <w:sz w:val="26"/>
          <w:szCs w:val="26"/>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ORCID: </w:t>
      </w:r>
      <w:r w:rsidDel="00000000" w:rsidR="00000000" w:rsidRPr="00000000">
        <w:rPr>
          <w:rFonts w:ascii="Times New Roman" w:cs="Times New Roman" w:eastAsia="Times New Roman" w:hAnsi="Times New Roman"/>
          <w:color w:val="212529"/>
          <w:sz w:val="26"/>
          <w:szCs w:val="26"/>
          <w:highlight w:val="white"/>
          <w:rtl w:val="0"/>
        </w:rPr>
        <w:t xml:space="preserve">0009-0005-2837-8579</w:t>
      </w:r>
    </w:p>
    <w:p w:rsidR="00000000" w:rsidDel="00000000" w:rsidP="00000000" w:rsidRDefault="00000000" w:rsidRPr="00000000" w14:paraId="0000002E">
      <w:pPr>
        <w:ind w:left="720" w:firstLine="0"/>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2F">
      <w:pPr>
        <w:numPr>
          <w:ilvl w:val="0"/>
          <w:numId w:val="2"/>
        </w:numPr>
        <w:ind w:left="720" w:hanging="36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Name: Muhammad Hanzlah Ishaq</w:t>
      </w:r>
    </w:p>
    <w:p w:rsidR="00000000" w:rsidDel="00000000" w:rsidP="00000000" w:rsidRDefault="00000000" w:rsidRPr="00000000" w14:paraId="00000030">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Is Institute: Azra Naheed Medical College, Lahore</w:t>
      </w:r>
    </w:p>
    <w:p w:rsidR="00000000" w:rsidDel="00000000" w:rsidP="00000000" w:rsidRDefault="00000000" w:rsidRPr="00000000" w14:paraId="00000031">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Email address: </w:t>
      </w:r>
      <w:hyperlink r:id="rId14">
        <w:r w:rsidDel="00000000" w:rsidR="00000000" w:rsidRPr="00000000">
          <w:rPr>
            <w:rFonts w:ascii="Times New Roman" w:cs="Times New Roman" w:eastAsia="Times New Roman" w:hAnsi="Times New Roman"/>
            <w:color w:val="1155cc"/>
            <w:sz w:val="24"/>
            <w:szCs w:val="24"/>
            <w:highlight w:val="white"/>
            <w:u w:val="single"/>
            <w:rtl w:val="0"/>
          </w:rPr>
          <w:t xml:space="preserve">raohanzla@gmail.com</w:t>
        </w:r>
      </w:hyperlink>
      <w:r w:rsidDel="00000000" w:rsidR="00000000" w:rsidRPr="00000000">
        <w:rPr>
          <w:rtl w:val="0"/>
        </w:rPr>
      </w:r>
    </w:p>
    <w:p w:rsidR="00000000" w:rsidDel="00000000" w:rsidP="00000000" w:rsidRDefault="00000000" w:rsidRPr="00000000" w14:paraId="00000032">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ORCID: 0009-0006-0232-4377</w:t>
      </w:r>
    </w:p>
    <w:p w:rsidR="00000000" w:rsidDel="00000000" w:rsidP="00000000" w:rsidRDefault="00000000" w:rsidRPr="00000000" w14:paraId="00000033">
      <w:pPr>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34">
      <w:pPr>
        <w:numPr>
          <w:ilvl w:val="0"/>
          <w:numId w:val="2"/>
        </w:numPr>
        <w:ind w:left="720" w:hanging="36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Name: Saman Najib</w:t>
      </w:r>
    </w:p>
    <w:p w:rsidR="00000000" w:rsidDel="00000000" w:rsidP="00000000" w:rsidRDefault="00000000" w:rsidRPr="00000000" w14:paraId="00000035">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Institute: Nawaz Sharif Medical College, Gujrat.</w:t>
      </w:r>
    </w:p>
    <w:p w:rsidR="00000000" w:rsidDel="00000000" w:rsidP="00000000" w:rsidRDefault="00000000" w:rsidRPr="00000000" w14:paraId="00000036">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Email: </w:t>
      </w:r>
      <w:hyperlink r:id="rId15">
        <w:r w:rsidDel="00000000" w:rsidR="00000000" w:rsidRPr="00000000">
          <w:rPr>
            <w:rFonts w:ascii="Times New Roman" w:cs="Times New Roman" w:eastAsia="Times New Roman" w:hAnsi="Times New Roman"/>
            <w:color w:val="1155cc"/>
            <w:sz w:val="24"/>
            <w:szCs w:val="24"/>
            <w:highlight w:val="white"/>
            <w:u w:val="single"/>
            <w:rtl w:val="0"/>
          </w:rPr>
          <w:t xml:space="preserve">samannajib18@gmail.com</w:t>
        </w:r>
      </w:hyperlink>
      <w:r w:rsidDel="00000000" w:rsidR="00000000" w:rsidRPr="00000000">
        <w:rPr>
          <w:rtl w:val="0"/>
        </w:rPr>
      </w:r>
    </w:p>
    <w:p w:rsidR="00000000" w:rsidDel="00000000" w:rsidP="00000000" w:rsidRDefault="00000000" w:rsidRPr="00000000" w14:paraId="00000037">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ORCID: 0009-0004-7955-7852</w:t>
      </w:r>
    </w:p>
    <w:p w:rsidR="00000000" w:rsidDel="00000000" w:rsidP="00000000" w:rsidRDefault="00000000" w:rsidRPr="00000000" w14:paraId="00000038">
      <w:pPr>
        <w:ind w:left="720" w:firstLine="0"/>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39">
      <w:pPr>
        <w:numPr>
          <w:ilvl w:val="0"/>
          <w:numId w:val="2"/>
        </w:numPr>
        <w:ind w:left="720" w:hanging="36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Name:Hira Tanveer</w:t>
      </w:r>
    </w:p>
    <w:p w:rsidR="00000000" w:rsidDel="00000000" w:rsidP="00000000" w:rsidRDefault="00000000" w:rsidRPr="00000000" w14:paraId="0000003A">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Insitute: Allama Iqbal Medical college,Lahore</w:t>
      </w:r>
    </w:p>
    <w:p w:rsidR="00000000" w:rsidDel="00000000" w:rsidP="00000000" w:rsidRDefault="00000000" w:rsidRPr="00000000" w14:paraId="0000003B">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Email: </w:t>
      </w:r>
      <w:hyperlink r:id="rId16">
        <w:r w:rsidDel="00000000" w:rsidR="00000000" w:rsidRPr="00000000">
          <w:rPr>
            <w:rFonts w:ascii="Times New Roman" w:cs="Times New Roman" w:eastAsia="Times New Roman" w:hAnsi="Times New Roman"/>
            <w:color w:val="1155cc"/>
            <w:sz w:val="24"/>
            <w:szCs w:val="24"/>
            <w:highlight w:val="white"/>
            <w:u w:val="single"/>
            <w:rtl w:val="0"/>
          </w:rPr>
          <w:t xml:space="preserve">hiratanveers1792002@icloud.com</w:t>
        </w:r>
      </w:hyperlink>
      <w:r w:rsidDel="00000000" w:rsidR="00000000" w:rsidRPr="00000000">
        <w:rPr>
          <w:rtl w:val="0"/>
        </w:rPr>
      </w:r>
    </w:p>
    <w:p w:rsidR="00000000" w:rsidDel="00000000" w:rsidP="00000000" w:rsidRDefault="00000000" w:rsidRPr="00000000" w14:paraId="0000003C">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Orcid: 0009-0007-6278-9499</w:t>
      </w:r>
    </w:p>
    <w:p w:rsidR="00000000" w:rsidDel="00000000" w:rsidP="00000000" w:rsidRDefault="00000000" w:rsidRPr="00000000" w14:paraId="0000003D">
      <w:pPr>
        <w:ind w:left="720" w:firstLine="0"/>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3E">
      <w:pPr>
        <w:numPr>
          <w:ilvl w:val="0"/>
          <w:numId w:val="2"/>
        </w:numPr>
        <w:ind w:left="720" w:hanging="36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‎Name: Farah Munir </w:t>
      </w:r>
    </w:p>
    <w:p w:rsidR="00000000" w:rsidDel="00000000" w:rsidP="00000000" w:rsidRDefault="00000000" w:rsidRPr="00000000" w14:paraId="0000003F">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‎Institute: Bakhtawar Amin Medical and Dental College, Multan, Pakistan </w:t>
      </w:r>
    </w:p>
    <w:p w:rsidR="00000000" w:rsidDel="00000000" w:rsidP="00000000" w:rsidRDefault="00000000" w:rsidRPr="00000000" w14:paraId="00000040">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‎Email: </w:t>
      </w:r>
      <w:hyperlink r:id="rId17">
        <w:r w:rsidDel="00000000" w:rsidR="00000000" w:rsidRPr="00000000">
          <w:rPr>
            <w:rFonts w:ascii="Times New Roman" w:cs="Times New Roman" w:eastAsia="Times New Roman" w:hAnsi="Times New Roman"/>
            <w:color w:val="1155cc"/>
            <w:sz w:val="24"/>
            <w:szCs w:val="24"/>
            <w:highlight w:val="white"/>
            <w:u w:val="single"/>
            <w:rtl w:val="0"/>
          </w:rPr>
          <w:t xml:space="preserve">farahmunir879@gmail.com</w:t>
        </w:r>
      </w:hyperlink>
      <w:r w:rsidDel="00000000" w:rsidR="00000000" w:rsidRPr="00000000">
        <w:rPr>
          <w:rFonts w:ascii="Times New Roman" w:cs="Times New Roman" w:eastAsia="Times New Roman" w:hAnsi="Times New Roman"/>
          <w:color w:val="212529"/>
          <w:sz w:val="24"/>
          <w:szCs w:val="24"/>
          <w:highlight w:val="white"/>
          <w:rtl w:val="0"/>
        </w:rPr>
        <w:t xml:space="preserve">  </w:t>
      </w:r>
    </w:p>
    <w:p w:rsidR="00000000" w:rsidDel="00000000" w:rsidP="00000000" w:rsidRDefault="00000000" w:rsidRPr="00000000" w14:paraId="00000041">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‎ORCID ID: 0009-0004-5519-3919</w:t>
      </w:r>
    </w:p>
    <w:p w:rsidR="00000000" w:rsidDel="00000000" w:rsidP="00000000" w:rsidRDefault="00000000" w:rsidRPr="00000000" w14:paraId="00000042">
      <w:pPr>
        <w:ind w:left="720" w:firstLine="0"/>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43">
      <w:pPr>
        <w:numPr>
          <w:ilvl w:val="0"/>
          <w:numId w:val="2"/>
        </w:numPr>
        <w:ind w:left="720" w:hanging="36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Name : Zain Ali    </w:t>
      </w:r>
    </w:p>
    <w:p w:rsidR="00000000" w:rsidDel="00000000" w:rsidP="00000000" w:rsidRDefault="00000000" w:rsidRPr="00000000" w14:paraId="00000044">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Institute: Rawalpindi Medical University, Rawalpindi, Pakistan  </w:t>
      </w:r>
    </w:p>
    <w:p w:rsidR="00000000" w:rsidDel="00000000" w:rsidP="00000000" w:rsidRDefault="00000000" w:rsidRPr="00000000" w14:paraId="00000045">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Email address:</w:t>
      </w:r>
      <w:hyperlink r:id="rId18">
        <w:r w:rsidDel="00000000" w:rsidR="00000000" w:rsidRPr="00000000">
          <w:rPr>
            <w:rFonts w:ascii="Times New Roman" w:cs="Times New Roman" w:eastAsia="Times New Roman" w:hAnsi="Times New Roman"/>
            <w:color w:val="1155cc"/>
            <w:sz w:val="24"/>
            <w:szCs w:val="24"/>
            <w:highlight w:val="white"/>
            <w:u w:val="single"/>
            <w:rtl w:val="0"/>
          </w:rPr>
          <w:t xml:space="preserve">zain37569@gmail.com</w:t>
        </w:r>
      </w:hyperlink>
      <w:r w:rsidDel="00000000" w:rsidR="00000000" w:rsidRPr="00000000">
        <w:rPr>
          <w:rtl w:val="0"/>
        </w:rPr>
      </w:r>
    </w:p>
    <w:p w:rsidR="00000000" w:rsidDel="00000000" w:rsidP="00000000" w:rsidRDefault="00000000" w:rsidRPr="00000000" w14:paraId="00000046">
      <w:pPr>
        <w:ind w:left="720" w:firstLine="0"/>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ORCID: 0009-0005-0262-9026</w:t>
      </w:r>
    </w:p>
    <w:p w:rsidR="00000000" w:rsidDel="00000000" w:rsidP="00000000" w:rsidRDefault="00000000" w:rsidRPr="00000000" w14:paraId="00000047">
      <w:pPr>
        <w:ind w:left="720" w:firstLine="0"/>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48">
      <w:pPr>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 xml:space="preserve">15         Name: Rayaan Gul</w:t>
      </w:r>
    </w:p>
    <w:p w:rsidR="00000000" w:rsidDel="00000000" w:rsidP="00000000" w:rsidRDefault="00000000" w:rsidRPr="00000000" w14:paraId="00000049">
      <w:pPr>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ab/>
        <w:t xml:space="preserve">Institute:Rawalpindi Medical University, Rawalpindi, Pakistan</w:t>
      </w:r>
    </w:p>
    <w:p w:rsidR="00000000" w:rsidDel="00000000" w:rsidP="00000000" w:rsidRDefault="00000000" w:rsidRPr="00000000" w14:paraId="0000004A">
      <w:pPr>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ab/>
        <w:t xml:space="preserve">Email: </w:t>
      </w:r>
      <w:hyperlink r:id="rId19">
        <w:r w:rsidDel="00000000" w:rsidR="00000000" w:rsidRPr="00000000">
          <w:rPr>
            <w:rFonts w:ascii="Times New Roman" w:cs="Times New Roman" w:eastAsia="Times New Roman" w:hAnsi="Times New Roman"/>
            <w:color w:val="1155cc"/>
            <w:sz w:val="24"/>
            <w:szCs w:val="24"/>
            <w:highlight w:val="white"/>
            <w:u w:val="single"/>
            <w:rtl w:val="0"/>
          </w:rPr>
          <w:t xml:space="preserve">dr.rayaangul@gmail.com</w:t>
        </w:r>
      </w:hyperlink>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color w:val="212529"/>
          <w:sz w:val="24"/>
          <w:szCs w:val="24"/>
          <w:highlight w:val="white"/>
          <w:rtl w:val="0"/>
        </w:rPr>
        <w:tab/>
        <w:t xml:space="preserve">ORCID iD: 0009-0007-3073-5699</w:t>
      </w:r>
    </w:p>
    <w:p w:rsidR="00000000" w:rsidDel="00000000" w:rsidP="00000000" w:rsidRDefault="00000000" w:rsidRPr="00000000" w14:paraId="0000004C">
      <w:pPr>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4D">
      <w:pPr>
        <w:ind w:left="720" w:firstLine="0"/>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4E">
      <w:pPr>
        <w:ind w:left="720" w:firstLine="0"/>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4F">
      <w:pPr>
        <w:ind w:left="720" w:firstLine="0"/>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50">
      <w:pPr>
        <w:ind w:left="720" w:firstLine="0"/>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51">
      <w:pPr>
        <w:ind w:left="720" w:firstLine="0"/>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52">
      <w:pPr>
        <w:ind w:left="720" w:firstLine="0"/>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053">
      <w:pPr>
        <w:spacing w:after="160" w:line="480" w:lineRule="auto"/>
        <w:rPr>
          <w:rFonts w:ascii="Times New Roman" w:cs="Times New Roman" w:eastAsia="Times New Roman" w:hAnsi="Times New Roman"/>
          <w:b w:val="1"/>
          <w:bCs w:val="1"/>
          <w:sz w:val="32"/>
          <w:szCs w:val="32"/>
        </w:rPr>
      </w:pPr>
      <w:r w:rsidDel="00000000" w:rsidR="00000000" w:rsidRPr="00000000">
        <w:rPr>
          <w:rtl w:val="0"/>
        </w:rPr>
      </w:r>
    </w:p>
    <w:p w:rsidR="00000000" w:rsidDel="00000000" w:rsidP="00000000" w:rsidRDefault="00000000" w:rsidRPr="00000000" w14:paraId="00000054">
      <w:pPr>
        <w:spacing w:after="160" w:line="480" w:lineRule="auto"/>
        <w:rPr>
          <w:rFonts w:ascii="Times New Roman" w:cs="Times New Roman" w:eastAsia="Times New Roman" w:hAnsi="Times New Roman"/>
          <w:b w:val="1"/>
          <w:bCs w:val="1"/>
          <w:color w:val="0d0d0d"/>
          <w:sz w:val="32"/>
          <w:szCs w:val="32"/>
        </w:rPr>
      </w:pPr>
      <w:r w:rsidDel="00000000" w:rsidR="00000000" w:rsidRPr="00000000">
        <w:rPr>
          <w:rtl w:val="0"/>
        </w:rPr>
      </w:r>
    </w:p>
    <w:p w:rsidR="00000000" w:rsidDel="00000000" w:rsidP="00000000" w:rsidRDefault="00000000" w:rsidRPr="00000000" w14:paraId="00000055">
      <w:pPr>
        <w:spacing w:line="480" w:lineRule="auto"/>
        <w:jc w:val="center"/>
        <w:rPr>
          <w:rFonts w:ascii="Times New Roman" w:cs="Times New Roman" w:eastAsia="Times New Roman" w:hAnsi="Times New Roman"/>
          <w:b w:val="1"/>
          <w:bCs w:val="1"/>
          <w:color w:val="0d0d0d"/>
          <w:sz w:val="32"/>
          <w:szCs w:val="32"/>
        </w:rPr>
      </w:pPr>
      <w:r w:rsidDel="00000000" w:rsidR="00000000" w:rsidRPr="00000000">
        <w:rPr>
          <w:rFonts w:ascii="Times New Roman" w:cs="Times New Roman" w:eastAsia="Times New Roman" w:hAnsi="Times New Roman"/>
          <w:b w:val="1"/>
          <w:bCs w:val="1"/>
          <w:color w:val="0d0d0d"/>
          <w:sz w:val="32"/>
          <w:szCs w:val="32"/>
          <w:rtl w:val="0"/>
        </w:rPr>
        <w:t xml:space="preserve">ABSTRACT</w:t>
      </w:r>
    </w:p>
    <w:p w:rsidR="00000000" w:rsidDel="00000000" w:rsidP="00000000" w:rsidRDefault="00000000" w:rsidRPr="00000000" w14:paraId="00000056">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Background</w:t>
      </w:r>
    </w:p>
    <w:p w:rsidR="00000000" w:rsidDel="00000000" w:rsidP="00000000" w:rsidRDefault="00000000" w:rsidRPr="00000000" w14:paraId="00000057">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Neuropathic pain affects roughly 6.9–10% of the adult population worldwide and often responds poorly to conventional analgesics. Lacosamide, a third-generation antiepileptic drug, selectively enhances the slow inactivation of voltage-gated sodium-channels and hence stabilizes hyperexcitable neuronal membranes. Evidence on its efficacy and safety in peripheral neuropathic pain remains limited.</w:t>
      </w:r>
    </w:p>
    <w:p w:rsidR="00000000" w:rsidDel="00000000" w:rsidP="00000000" w:rsidRDefault="00000000" w:rsidRPr="00000000" w14:paraId="00000058">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Objective</w:t>
      </w:r>
    </w:p>
    <w:p w:rsidR="00000000" w:rsidDel="00000000" w:rsidP="00000000" w:rsidRDefault="00000000" w:rsidRPr="00000000" w14:paraId="00000059">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sz w:val="28"/>
          <w:szCs w:val="28"/>
          <w:rtl w:val="0"/>
        </w:rPr>
        <w:t xml:space="preserve">To </w:t>
      </w:r>
      <w:r w:rsidDel="00000000" w:rsidR="00000000" w:rsidRPr="00000000">
        <w:rPr>
          <w:rFonts w:ascii="Times New Roman" w:cs="Times New Roman" w:eastAsia="Times New Roman" w:hAnsi="Times New Roman"/>
          <w:color w:val="0d0d0d"/>
          <w:rtl w:val="0"/>
        </w:rPr>
        <w:t xml:space="preserve">systematically review and meta-analyze randomized controlled trials evaluating the efficacy and safety of lacosamide in adults with peripheral neuropathic pain.</w:t>
      </w:r>
    </w:p>
    <w:p w:rsidR="00000000" w:rsidDel="00000000" w:rsidP="00000000" w:rsidRDefault="00000000" w:rsidRPr="00000000" w14:paraId="0000005A">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Methods</w:t>
      </w:r>
    </w:p>
    <w:p w:rsidR="00000000" w:rsidDel="00000000" w:rsidP="00000000" w:rsidRDefault="00000000" w:rsidRPr="00000000" w14:paraId="0000005B">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Following PRISMA 2020 guidelines (PROSPERO registration: </w:t>
      </w:r>
      <w:r w:rsidDel="00000000" w:rsidR="00000000" w:rsidRPr="00000000">
        <w:rPr>
          <w:rFonts w:ascii="Times New Roman" w:cs="Times New Roman" w:eastAsia="Times New Roman" w:hAnsi="Times New Roman"/>
          <w:b w:val="1"/>
          <w:bCs w:val="1"/>
          <w:color w:val="0d0d0d"/>
          <w:u w:val="single"/>
          <w:rtl w:val="0"/>
        </w:rPr>
        <w:t xml:space="preserve">CRD420261438575</w:t>
      </w:r>
      <w:r w:rsidDel="00000000" w:rsidR="00000000" w:rsidRPr="00000000">
        <w:rPr>
          <w:rFonts w:ascii="Times New Roman" w:cs="Times New Roman" w:eastAsia="Times New Roman" w:hAnsi="Times New Roman"/>
          <w:color w:val="0d0d0d"/>
          <w:rtl w:val="0"/>
        </w:rPr>
        <w:t xml:space="preserve">), we searched PubMed/MEDLINE, Embase, Scopus, and Cochrane CENTRAL from 2007 to June 2026. Randomized controlled trials comparing lacosamide with placebo and other standard treatment regimes in adults with peripheral neuropathic pain were screened. Screening was performed independently by a six-reviewer </w:t>
      </w:r>
      <w:r w:rsidDel="00000000" w:rsidR="00000000" w:rsidRPr="00000000">
        <w:rPr>
          <w:rFonts w:ascii="Times New Roman" w:cs="Times New Roman" w:eastAsia="Times New Roman" w:hAnsi="Times New Roman"/>
          <w:rtl w:val="0"/>
        </w:rPr>
        <w:t xml:space="preserve">team, with a third reviewer resolving conflicts,</w:t>
      </w:r>
      <w:r w:rsidDel="00000000" w:rsidR="00000000" w:rsidRPr="00000000">
        <w:rPr>
          <w:rFonts w:ascii="Times New Roman" w:cs="Times New Roman" w:eastAsia="Times New Roman" w:hAnsi="Times New Roman"/>
          <w:color w:val="0d0d0d"/>
          <w:rtl w:val="0"/>
        </w:rPr>
        <w:t xml:space="preserve"> extraction and quality/grade assessments (Rob 2.0, GRADE). Continuous outcomes were pooled as mean differences and dichotomous outcomes as risk ratios using a random-effects model. Studies involving central neuropathic pain, pediatric cohorts, animal cohorts and laboratory-only experimental studies were excluded. Clinical status of patients was assessed using Patient Global Impression of Change (PGIC) and Daily Sleep Interference Scale.</w:t>
      </w:r>
    </w:p>
    <w:p w:rsidR="00000000" w:rsidDel="00000000" w:rsidP="00000000" w:rsidRDefault="00000000" w:rsidRPr="00000000" w14:paraId="0000005C">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Results</w:t>
      </w:r>
    </w:p>
    <w:p w:rsidR="00000000" w:rsidDel="00000000" w:rsidP="00000000" w:rsidRDefault="00000000" w:rsidRPr="00000000" w14:paraId="0000005D">
      <w:pPr>
        <w:spacing w:line="480" w:lineRule="auto"/>
        <w:rPr>
          <w:rFonts w:ascii="Times New Roman" w:cs="Times New Roman" w:eastAsia="Times New Roman" w:hAnsi="Times New Roman"/>
          <w:color w:val="0d0d0d"/>
        </w:rPr>
      </w:pPr>
      <w:r w:rsidDel="00000000" w:rsidR="00000000" w:rsidRPr="00000000">
        <w:rPr>
          <w:rFonts w:ascii="Gungsuh" w:cs="Gungsuh" w:eastAsia="Gungsuh" w:hAnsi="Gungsuh"/>
          <w:color w:val="0d0d0d"/>
          <w:rtl w:val="0"/>
        </w:rPr>
        <w:t xml:space="preserve">Nine RCTs comprising double-blind, parallel group and cross-over designs (n=1,314 participants) met the inclusion criteria. Lacosamide significantly reduced pain intensity compared to placebo (MD −0.69, 95% CI −1.08 to −0.30; I² = 0%; moderate-certainty evidence). Secondary outcomes including ≥30% pain reduction (RR 1.79, 95% CI 0.65–4.91), ≥50% pain reduction (RR 2.01, 95% CI 0.84–4.79), and Patient Global Impression of Change (RR 1.19, 95% CI 0.99–1.44) favored lacosamide but did not meet statistical significance due to limited statistical data in specific subsets. Mild neurological side effects like dizziness occurred significantly more often with lacosamide compared with placebo (RR 2.64, 95% CI 1.28–5.42), along with a borderline increase in treatment discontinuation (RR 1.72, 95% CI 1.01–2.94).</w:t>
      </w:r>
    </w:p>
    <w:p w:rsidR="00000000" w:rsidDel="00000000" w:rsidP="00000000" w:rsidRDefault="00000000" w:rsidRPr="00000000" w14:paraId="0000005E">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Conclusion</w:t>
      </w:r>
    </w:p>
    <w:p w:rsidR="00000000" w:rsidDel="00000000" w:rsidP="00000000" w:rsidRDefault="00000000" w:rsidRPr="00000000" w14:paraId="0000005F">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Lacosamide offers a modest, uniform reduction in pain intensity with an acceptable safety profile, supporting its use as a second-line or adjunctive option in peripheral neuropathic pain, though well-powered trials are needed to confirm its efficacy over other standard medications.</w:t>
      </w:r>
    </w:p>
    <w:p w:rsidR="00000000" w:rsidDel="00000000" w:rsidP="00000000" w:rsidRDefault="00000000" w:rsidRPr="00000000" w14:paraId="00000060">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Limitations</w:t>
      </w:r>
    </w:p>
    <w:p w:rsidR="00000000" w:rsidDel="00000000" w:rsidP="00000000" w:rsidRDefault="00000000" w:rsidRPr="00000000" w14:paraId="00000061">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Limitations include few included trials, wide confidence intervals for secondary outcomes, and limited long-term follow-up data.</w:t>
      </w:r>
    </w:p>
    <w:p w:rsidR="00000000" w:rsidDel="00000000" w:rsidP="00000000" w:rsidRDefault="00000000" w:rsidRPr="00000000" w14:paraId="00000062">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b w:val="1"/>
          <w:bCs w:val="1"/>
          <w:color w:val="0d0d0d"/>
          <w:rtl w:val="0"/>
        </w:rPr>
        <w:t xml:space="preserve">Acknowledgement: </w:t>
      </w:r>
      <w:r w:rsidDel="00000000" w:rsidR="00000000" w:rsidRPr="00000000">
        <w:rPr>
          <w:rFonts w:ascii="Times New Roman" w:cs="Times New Roman" w:eastAsia="Times New Roman" w:hAnsi="Times New Roman"/>
          <w:color w:val="0d0d0d"/>
          <w:rtl w:val="0"/>
        </w:rPr>
        <w:t xml:space="preserve">Help taken from AI resources like Rayyan and Gemini.</w:t>
      </w:r>
    </w:p>
    <w:p w:rsidR="00000000" w:rsidDel="00000000" w:rsidP="00000000" w:rsidRDefault="00000000" w:rsidRPr="00000000" w14:paraId="00000063">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b w:val="1"/>
          <w:bCs w:val="1"/>
          <w:color w:val="0d0d0d"/>
          <w:rtl w:val="0"/>
        </w:rPr>
        <w:t xml:space="preserve">Funding</w:t>
      </w:r>
      <w:r w:rsidDel="00000000" w:rsidR="00000000" w:rsidRPr="00000000">
        <w:rPr>
          <w:rFonts w:ascii="Times New Roman" w:cs="Times New Roman" w:eastAsia="Times New Roman" w:hAnsi="Times New Roman"/>
          <w:color w:val="0d0d0d"/>
          <w:rtl w:val="0"/>
        </w:rPr>
        <w:t xml:space="preserve">: This review received no external funding.</w:t>
      </w:r>
    </w:p>
    <w:p w:rsidR="00000000" w:rsidDel="00000000" w:rsidP="00000000" w:rsidRDefault="00000000" w:rsidRPr="00000000" w14:paraId="00000064">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w:t>
      </w:r>
    </w:p>
    <w:p w:rsidR="00000000" w:rsidDel="00000000" w:rsidP="00000000" w:rsidRDefault="00000000" w:rsidRPr="00000000" w14:paraId="00000065">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w:t>
      </w:r>
    </w:p>
    <w:p w:rsidR="00000000" w:rsidDel="00000000" w:rsidP="00000000" w:rsidRDefault="00000000" w:rsidRPr="00000000" w14:paraId="00000066">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w:t>
      </w:r>
    </w:p>
    <w:p w:rsidR="00000000" w:rsidDel="00000000" w:rsidP="00000000" w:rsidRDefault="00000000" w:rsidRPr="00000000" w14:paraId="00000067">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w:t>
      </w:r>
    </w:p>
    <w:p w:rsidR="00000000" w:rsidDel="00000000" w:rsidP="00000000" w:rsidRDefault="00000000" w:rsidRPr="00000000" w14:paraId="00000068">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w:t>
      </w:r>
    </w:p>
    <w:p w:rsidR="00000000" w:rsidDel="00000000" w:rsidP="00000000" w:rsidRDefault="00000000" w:rsidRPr="00000000" w14:paraId="00000069">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w:t>
      </w:r>
    </w:p>
    <w:p w:rsidR="00000000" w:rsidDel="00000000" w:rsidP="00000000" w:rsidRDefault="00000000" w:rsidRPr="00000000" w14:paraId="0000006A">
      <w:pPr>
        <w:spacing w:line="480" w:lineRule="auto"/>
        <w:rPr>
          <w:rFonts w:ascii="Times New Roman" w:cs="Times New Roman" w:eastAsia="Times New Roman" w:hAnsi="Times New Roman"/>
          <w:color w:val="0d0d0d"/>
        </w:rPr>
      </w:pPr>
      <w:r w:rsidDel="00000000" w:rsidR="00000000" w:rsidRPr="00000000">
        <w:rPr>
          <w:rtl w:val="0"/>
        </w:rPr>
      </w:r>
    </w:p>
    <w:p w:rsidR="00000000" w:rsidDel="00000000" w:rsidP="00000000" w:rsidRDefault="00000000" w:rsidRPr="00000000" w14:paraId="0000006B">
      <w:pPr>
        <w:spacing w:line="480" w:lineRule="auto"/>
        <w:rPr>
          <w:rFonts w:ascii="Times New Roman" w:cs="Times New Roman" w:eastAsia="Times New Roman" w:hAnsi="Times New Roman"/>
          <w:color w:val="0d0d0d"/>
        </w:rPr>
      </w:pPr>
      <w:r w:rsidDel="00000000" w:rsidR="00000000" w:rsidRPr="00000000">
        <w:rPr>
          <w:rtl w:val="0"/>
        </w:rPr>
      </w:r>
    </w:p>
    <w:p w:rsidR="00000000" w:rsidDel="00000000" w:rsidP="00000000" w:rsidRDefault="00000000" w:rsidRPr="00000000" w14:paraId="0000006C">
      <w:pPr>
        <w:spacing w:line="480" w:lineRule="auto"/>
        <w:rPr>
          <w:rFonts w:ascii="Times New Roman" w:cs="Times New Roman" w:eastAsia="Times New Roman" w:hAnsi="Times New Roman"/>
          <w:color w:val="0d0d0d"/>
        </w:rPr>
      </w:pPr>
      <w:r w:rsidDel="00000000" w:rsidR="00000000" w:rsidRPr="00000000">
        <w:rPr>
          <w:rtl w:val="0"/>
        </w:rPr>
      </w:r>
    </w:p>
    <w:p w:rsidR="00000000" w:rsidDel="00000000" w:rsidP="00000000" w:rsidRDefault="00000000" w:rsidRPr="00000000" w14:paraId="0000006D">
      <w:pPr>
        <w:spacing w:line="480" w:lineRule="auto"/>
        <w:rPr>
          <w:rFonts w:ascii="Times New Roman" w:cs="Times New Roman" w:eastAsia="Times New Roman" w:hAnsi="Times New Roman"/>
          <w:color w:val="0d0d0d"/>
        </w:rPr>
      </w:pPr>
      <w:r w:rsidDel="00000000" w:rsidR="00000000" w:rsidRPr="00000000">
        <w:rPr>
          <w:rtl w:val="0"/>
        </w:rPr>
      </w:r>
    </w:p>
    <w:p w:rsidR="00000000" w:rsidDel="00000000" w:rsidP="00000000" w:rsidRDefault="00000000" w:rsidRPr="00000000" w14:paraId="0000006E">
      <w:pPr>
        <w:spacing w:line="480" w:lineRule="auto"/>
        <w:rPr>
          <w:rFonts w:ascii="Times New Roman" w:cs="Times New Roman" w:eastAsia="Times New Roman" w:hAnsi="Times New Roman"/>
          <w:color w:val="0d0d0d"/>
        </w:rPr>
      </w:pPr>
      <w:r w:rsidDel="00000000" w:rsidR="00000000" w:rsidRPr="00000000">
        <w:rPr>
          <w:rtl w:val="0"/>
        </w:rPr>
      </w:r>
    </w:p>
    <w:p w:rsidR="00000000" w:rsidDel="00000000" w:rsidP="00000000" w:rsidRDefault="00000000" w:rsidRPr="00000000" w14:paraId="0000006F">
      <w:pPr>
        <w:spacing w:line="480" w:lineRule="auto"/>
        <w:rPr>
          <w:rFonts w:ascii="Times New Roman" w:cs="Times New Roman" w:eastAsia="Times New Roman" w:hAnsi="Times New Roman"/>
          <w:color w:val="0d0d0d"/>
        </w:rPr>
      </w:pPr>
      <w:r w:rsidDel="00000000" w:rsidR="00000000" w:rsidRPr="00000000">
        <w:rPr>
          <w:rtl w:val="0"/>
        </w:rPr>
      </w:r>
    </w:p>
    <w:p w:rsidR="00000000" w:rsidDel="00000000" w:rsidP="00000000" w:rsidRDefault="00000000" w:rsidRPr="00000000" w14:paraId="00000070">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w:t>
      </w:r>
    </w:p>
    <w:p w:rsidR="00000000" w:rsidDel="00000000" w:rsidP="00000000" w:rsidRDefault="00000000" w:rsidRPr="00000000" w14:paraId="00000071">
      <w:pPr>
        <w:spacing w:line="480" w:lineRule="auto"/>
        <w:jc w:val="center"/>
        <w:rPr>
          <w:rFonts w:ascii="Times New Roman" w:cs="Times New Roman" w:eastAsia="Times New Roman" w:hAnsi="Times New Roman"/>
          <w:b w:val="1"/>
          <w:bCs w:val="1"/>
          <w:color w:val="0d0d0d"/>
          <w:sz w:val="32"/>
          <w:szCs w:val="32"/>
        </w:rPr>
      </w:pPr>
      <w:r w:rsidDel="00000000" w:rsidR="00000000" w:rsidRPr="00000000">
        <w:rPr>
          <w:rFonts w:ascii="Times New Roman" w:cs="Times New Roman" w:eastAsia="Times New Roman" w:hAnsi="Times New Roman"/>
          <w:b w:val="1"/>
          <w:bCs w:val="1"/>
          <w:color w:val="0d0d0d"/>
          <w:sz w:val="32"/>
          <w:szCs w:val="32"/>
          <w:rtl w:val="0"/>
        </w:rPr>
        <w:t xml:space="preserve">INTRODUCTION</w:t>
      </w:r>
    </w:p>
    <w:p w:rsidR="00000000" w:rsidDel="00000000" w:rsidP="00000000" w:rsidRDefault="00000000" w:rsidRPr="00000000" w14:paraId="00000072">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Neuropathic pain (NP) is a chronic, long-term painful condition caused by a lesion or a disease affecting the somatosensory nervous system, as defined by the International Association for the Study of Pain (IASP) [1]. NP is described symptomatically as burning, shooting, or electric shock-like sensations and it is categorized into central and peripheral NP depending on the localization of the underlying lesion. Epidemiologically, the worldwide prevalence of NP is approximately 6.9-10% [2]. PNP is related to numerous etiologies, including leprosy, shingles, diabetic neuropathy, postherpetic neuralgia, trigeminal neuralgia, chemotherapy-induced peripheral neuropathy, and peripheral nerve compression entrapment injuries.</w:t>
      </w:r>
    </w:p>
    <w:p w:rsidR="00000000" w:rsidDel="00000000" w:rsidP="00000000" w:rsidRDefault="00000000" w:rsidRPr="00000000" w14:paraId="00000073">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The pathogenesis of NP includes increased neuronal activity due to changes in ion channels expression and ectopic firing, sensitization of neurons and inflammation with maladaptive processing along the nociceptor pathways. These mechanisms contribute to persistent pain which does not respond properly to traditional analgesics. Current pharmacotherapies in practice consist of tricyclic antidepressants like amitriptyline or nortriptyline, serotonin and norepinephrine reuptake inhibitors like duloxetine, gabapentin like pregabalin and gabapentin, topical lidocaine patches and selected opioids like tramadol, although treatment response varies considerably among individuals and adverse effects may limit long-term use [3].</w:t>
      </w:r>
    </w:p>
    <w:p w:rsidR="00000000" w:rsidDel="00000000" w:rsidP="00000000" w:rsidRDefault="00000000" w:rsidRPr="00000000" w14:paraId="00000074">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Lacosamide is a third-generation antiepileptic drug [4]. It has a unique mechanism of selectively enhancing the slow inactivation of voltage-gated sodium channels, thus stabilizing the hyperexcitable neuronal membranes. This mechanism differentiates lacosamide from the traditional sodium channels blockers, which predominantly affect fast inactivation. Lacosamide is mainly renally excreted unchanged with minimal CYP450 metabolism, resulting in a low risk of drug-drug interactions [5]. However, the results of randomized controlled trials (RCTs) on efficacy and safety have been unclear; making its overall clinical outcome unclear in the use of PNP. Therefore, this systematic review and meta-analysis aim to summarise the evidence from RCTs to comprehensively evaluate the efficacy and safety of lacosamide in adults diagnosed with peripheral neuropathic pain.</w:t>
      </w:r>
    </w:p>
    <w:p w:rsidR="00000000" w:rsidDel="00000000" w:rsidP="00000000" w:rsidRDefault="00000000" w:rsidRPr="00000000" w14:paraId="00000075">
      <w:pPr>
        <w:spacing w:line="480" w:lineRule="auto"/>
        <w:rPr>
          <w:rFonts w:ascii="Times New Roman" w:cs="Times New Roman" w:eastAsia="Times New Roman" w:hAnsi="Times New Roman"/>
          <w:color w:val="0d0d0d"/>
        </w:rPr>
      </w:pPr>
      <w:r w:rsidDel="00000000" w:rsidR="00000000" w:rsidRPr="00000000">
        <w:rPr>
          <w:rtl w:val="0"/>
        </w:rPr>
      </w:r>
    </w:p>
    <w:p w:rsidR="00000000" w:rsidDel="00000000" w:rsidP="00000000" w:rsidRDefault="00000000" w:rsidRPr="00000000" w14:paraId="00000076">
      <w:pPr>
        <w:spacing w:line="480" w:lineRule="auto"/>
        <w:jc w:val="center"/>
        <w:rPr>
          <w:rFonts w:ascii="Times New Roman" w:cs="Times New Roman" w:eastAsia="Times New Roman" w:hAnsi="Times New Roman"/>
          <w:b w:val="1"/>
          <w:bCs w:val="1"/>
          <w:color w:val="0d0d0d"/>
          <w:sz w:val="32"/>
          <w:szCs w:val="32"/>
        </w:rPr>
      </w:pPr>
      <w:r w:rsidDel="00000000" w:rsidR="00000000" w:rsidRPr="00000000">
        <w:rPr>
          <w:rFonts w:ascii="Times New Roman" w:cs="Times New Roman" w:eastAsia="Times New Roman" w:hAnsi="Times New Roman"/>
          <w:b w:val="1"/>
          <w:bCs w:val="1"/>
          <w:color w:val="0d0d0d"/>
          <w:sz w:val="32"/>
          <w:szCs w:val="32"/>
          <w:rtl w:val="0"/>
        </w:rPr>
        <w:t xml:space="preserve">METHODS</w:t>
      </w:r>
    </w:p>
    <w:p w:rsidR="00000000" w:rsidDel="00000000" w:rsidP="00000000" w:rsidRDefault="00000000" w:rsidRPr="00000000" w14:paraId="00000077">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Protocol Registration and Reporting Standards</w:t>
      </w:r>
    </w:p>
    <w:p w:rsidR="00000000" w:rsidDel="00000000" w:rsidP="00000000" w:rsidRDefault="00000000" w:rsidRPr="00000000" w14:paraId="00000078">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The systematic review and meta-analysis was performed following the PRISMA 2020 guidelines [6].  The protocol was registered in PROSPERO before data extraction (CRD420261438575).</w:t>
      </w:r>
    </w:p>
    <w:p w:rsidR="00000000" w:rsidDel="00000000" w:rsidP="00000000" w:rsidRDefault="00000000" w:rsidRPr="00000000" w14:paraId="00000079">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Search Strategy</w:t>
      </w:r>
    </w:p>
    <w:p w:rsidR="00000000" w:rsidDel="00000000" w:rsidP="00000000" w:rsidRDefault="00000000" w:rsidRPr="00000000" w14:paraId="0000007A">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A comprehensive literature search was performed in PubMed/MEDLINE, Embase, Scopus, and the Cochrane Central Register of Controlled Trials (CENTRAL) from 2007 to 21 June 2026.The search strategy comprised (MeSH) and free text terms for the intervention (Lacosamide and Vimpat) and for peripheral neuropathic pain (Neuralgia, Peripheral Nervous System Diseases, Neuropathic Pain, Peripheral Neuropathy and Diabetic Neuropathy) combined with a filter for randomized controlled trials (randomised controlled trial, controlled clinical trial, random, placebo, trial). Within each database all reasonable keyword combinations were used to keep the search sensitive and comprehensive. Full search strings for each database are available in the Supplementary Table [1].</w:t>
      </w:r>
    </w:p>
    <w:p w:rsidR="00000000" w:rsidDel="00000000" w:rsidP="00000000" w:rsidRDefault="00000000" w:rsidRPr="00000000" w14:paraId="0000007B">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Inclusion Criteria</w:t>
      </w:r>
    </w:p>
    <w:p w:rsidR="00000000" w:rsidDel="00000000" w:rsidP="00000000" w:rsidRDefault="00000000" w:rsidRPr="00000000" w14:paraId="0000007C">
      <w:pPr>
        <w:numPr>
          <w:ilvl w:val="0"/>
          <w:numId w:val="7"/>
        </w:numPr>
        <w:spacing w:line="480" w:lineRule="auto"/>
        <w:ind w:left="1440" w:hanging="360"/>
        <w:rPr>
          <w:rFonts w:ascii="Times New Roman" w:cs="Times New Roman" w:eastAsia="Times New Roman" w:hAnsi="Times New Roman"/>
          <w:color w:val="0d0d0d"/>
          <w:u w:val="none"/>
        </w:rPr>
      </w:pPr>
      <w:r w:rsidDel="00000000" w:rsidR="00000000" w:rsidRPr="00000000">
        <w:rPr>
          <w:rFonts w:ascii="Times New Roman" w:cs="Times New Roman" w:eastAsia="Times New Roman" w:hAnsi="Times New Roman"/>
          <w:color w:val="0d0d0d"/>
          <w:rtl w:val="0"/>
        </w:rPr>
        <w:t xml:space="preserve">We included RCTs, including parallel-group, double-blind or cross-over, using only first-period data for cross-over trials) published in English evaluating lacosamide, at any standard dose or duration, in adults (18 years or older) with peripheral neuropathic pain.</w:t>
      </w:r>
    </w:p>
    <w:p w:rsidR="00000000" w:rsidDel="00000000" w:rsidP="00000000" w:rsidRDefault="00000000" w:rsidRPr="00000000" w14:paraId="0000007D">
      <w:pPr>
        <w:numPr>
          <w:ilvl w:val="0"/>
          <w:numId w:val="7"/>
        </w:numPr>
        <w:spacing w:line="480" w:lineRule="auto"/>
        <w:ind w:left="1440" w:hanging="360"/>
        <w:rPr>
          <w:rFonts w:ascii="Times New Roman" w:cs="Times New Roman" w:eastAsia="Times New Roman" w:hAnsi="Times New Roman"/>
          <w:color w:val="0d0d0d"/>
          <w:u w:val="none"/>
        </w:rPr>
      </w:pPr>
      <w:r w:rsidDel="00000000" w:rsidR="00000000" w:rsidRPr="00000000">
        <w:rPr>
          <w:rFonts w:ascii="Times New Roman" w:cs="Times New Roman" w:eastAsia="Times New Roman" w:hAnsi="Times New Roman"/>
          <w:color w:val="0d0d0d"/>
          <w:rtl w:val="0"/>
        </w:rPr>
        <w:t xml:space="preserve">These covered diabetic peripheral neuropathy, postherpetic neuralgia, small fibre neuropathy, HIV-associated neuropathy and other peripheral neuropathic pain conditions.</w:t>
      </w:r>
    </w:p>
    <w:p w:rsidR="00000000" w:rsidDel="00000000" w:rsidP="00000000" w:rsidRDefault="00000000" w:rsidRPr="00000000" w14:paraId="0000007E">
      <w:pPr>
        <w:numPr>
          <w:ilvl w:val="0"/>
          <w:numId w:val="7"/>
        </w:numPr>
        <w:spacing w:line="480" w:lineRule="auto"/>
        <w:ind w:left="1440" w:hanging="360"/>
        <w:rPr>
          <w:rFonts w:ascii="Times New Roman" w:cs="Times New Roman" w:eastAsia="Times New Roman" w:hAnsi="Times New Roman"/>
          <w:color w:val="0d0d0d"/>
          <w:u w:val="none"/>
        </w:rPr>
      </w:pP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color w:val="0d0d0d"/>
          <w:rtl w:val="0"/>
        </w:rPr>
        <w:t xml:space="preserve">Comparators could be placebo, no treatment, standard treatment regimes commonly used for neuropathic pain such as pregabalin, gabapentin, duloxetine or amitriptyline.</w:t>
      </w:r>
    </w:p>
    <w:p w:rsidR="00000000" w:rsidDel="00000000" w:rsidP="00000000" w:rsidRDefault="00000000" w:rsidRPr="00000000" w14:paraId="0000007F">
      <w:pPr>
        <w:numPr>
          <w:ilvl w:val="0"/>
          <w:numId w:val="7"/>
        </w:numPr>
        <w:spacing w:line="480" w:lineRule="auto"/>
        <w:ind w:left="1440" w:hanging="360"/>
        <w:rPr>
          <w:rFonts w:ascii="Times New Roman" w:cs="Times New Roman" w:eastAsia="Times New Roman" w:hAnsi="Times New Roman"/>
          <w:color w:val="0d0d0d"/>
          <w:u w:val="none"/>
        </w:rPr>
      </w:pP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color w:val="0d0d0d"/>
          <w:rtl w:val="0"/>
        </w:rPr>
        <w:t xml:space="preserve">Studies had to report at least one of the following relevant outcomes: change in pain score, proportion of patients with at least 30% or 50% pain reduction, quality of life, sleep quality DSIS, PGIC score, adverse events, serious adverse events or dropout due to side effects.</w:t>
      </w:r>
    </w:p>
    <w:p w:rsidR="00000000" w:rsidDel="00000000" w:rsidP="00000000" w:rsidRDefault="00000000" w:rsidRPr="00000000" w14:paraId="00000080">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b w:val="1"/>
          <w:bCs w:val="1"/>
          <w:color w:val="0d0d0d"/>
          <w:u w:val="single"/>
          <w:rtl w:val="0"/>
        </w:rPr>
        <w:t xml:space="preserve">Exclusion criteria</w:t>
      </w:r>
      <w:r w:rsidDel="00000000" w:rsidR="00000000" w:rsidRPr="00000000">
        <w:rPr>
          <w:rFonts w:ascii="Times New Roman" w:cs="Times New Roman" w:eastAsia="Times New Roman" w:hAnsi="Times New Roman"/>
          <w:color w:val="0d0d0d"/>
          <w:rtl w:val="0"/>
        </w:rPr>
        <w:t xml:space="preserve">:</w:t>
      </w:r>
    </w:p>
    <w:p w:rsidR="00000000" w:rsidDel="00000000" w:rsidP="00000000" w:rsidRDefault="00000000" w:rsidRPr="00000000" w14:paraId="00000081">
      <w:pPr>
        <w:numPr>
          <w:ilvl w:val="0"/>
          <w:numId w:val="6"/>
        </w:numPr>
        <w:spacing w:line="480" w:lineRule="auto"/>
        <w:ind w:left="1440" w:hanging="360"/>
        <w:rPr>
          <w:rFonts w:ascii="Times New Roman" w:cs="Times New Roman" w:eastAsia="Times New Roman" w:hAnsi="Times New Roman"/>
          <w:color w:val="0d0d0d"/>
          <w:u w:val="none"/>
        </w:rPr>
      </w:pP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color w:val="0d0d0d"/>
          <w:rtl w:val="0"/>
        </w:rPr>
        <w:t xml:space="preserve">We excluded studies that only investigated central neuropathic pain (from stroke, spinal cord injury or MS), acute pain, cancer pain, or fibromyalgia without confirmed peripheral nerve involvement.</w:t>
      </w:r>
    </w:p>
    <w:p w:rsidR="00000000" w:rsidDel="00000000" w:rsidP="00000000" w:rsidRDefault="00000000" w:rsidRPr="00000000" w14:paraId="00000082">
      <w:pPr>
        <w:numPr>
          <w:ilvl w:val="0"/>
          <w:numId w:val="6"/>
        </w:numPr>
        <w:spacing w:line="480" w:lineRule="auto"/>
        <w:ind w:left="1440" w:hanging="360"/>
        <w:rPr>
          <w:rFonts w:ascii="Times New Roman" w:cs="Times New Roman" w:eastAsia="Times New Roman" w:hAnsi="Times New Roman"/>
          <w:color w:val="0d0d0d"/>
          <w:u w:val="none"/>
        </w:rPr>
      </w:pPr>
      <w:r w:rsidDel="00000000" w:rsidR="00000000" w:rsidRPr="00000000">
        <w:rPr>
          <w:rFonts w:ascii="Times New Roman" w:cs="Times New Roman" w:eastAsia="Times New Roman" w:hAnsi="Times New Roman"/>
          <w:color w:val="0d0d0d"/>
          <w:rtl w:val="0"/>
        </w:rPr>
        <w:t xml:space="preserve">Studies in which lacosamide was used only as part of a combination and the individual effect of lacosamide could not be separated out were excluded.</w:t>
      </w:r>
    </w:p>
    <w:p w:rsidR="00000000" w:rsidDel="00000000" w:rsidP="00000000" w:rsidRDefault="00000000" w:rsidRPr="00000000" w14:paraId="00000083">
      <w:pPr>
        <w:numPr>
          <w:ilvl w:val="0"/>
          <w:numId w:val="6"/>
        </w:numPr>
        <w:spacing w:line="480" w:lineRule="auto"/>
        <w:ind w:left="1440" w:hanging="360"/>
        <w:rPr>
          <w:rFonts w:ascii="Times New Roman" w:cs="Times New Roman" w:eastAsia="Times New Roman" w:hAnsi="Times New Roman"/>
          <w:color w:val="0d0d0d"/>
          <w:u w:val="none"/>
        </w:rPr>
      </w:pP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color w:val="0d0d0d"/>
          <w:rtl w:val="0"/>
        </w:rPr>
        <w:t xml:space="preserve">Case reports, case series, reviews, editorials, letters, abstracts without sufficient data, and pediatric, animal or laboratory-only studies were also excluded.</w:t>
      </w:r>
    </w:p>
    <w:p w:rsidR="00000000" w:rsidDel="00000000" w:rsidP="00000000" w:rsidRDefault="00000000" w:rsidRPr="00000000" w14:paraId="00000084">
      <w:pPr>
        <w:numPr>
          <w:ilvl w:val="0"/>
          <w:numId w:val="6"/>
        </w:numPr>
        <w:spacing w:line="480" w:lineRule="auto"/>
        <w:ind w:left="1440" w:hanging="360"/>
        <w:rPr>
          <w:rFonts w:ascii="Times New Roman" w:cs="Times New Roman" w:eastAsia="Times New Roman" w:hAnsi="Times New Roman"/>
          <w:color w:val="0d0d0d"/>
          <w:u w:val="none"/>
        </w:rPr>
      </w:pP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color w:val="0d0d0d"/>
          <w:rtl w:val="0"/>
        </w:rPr>
        <w:t xml:space="preserve">Trials of lacosamide versus an active comparator in the absence of placebo were eligible for inclusion but were analysed and reported separately from the main placebo-controlled pooled analyses.</w:t>
      </w:r>
    </w:p>
    <w:p w:rsidR="00000000" w:rsidDel="00000000" w:rsidP="00000000" w:rsidRDefault="00000000" w:rsidRPr="00000000" w14:paraId="00000085">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Selection of Studies and Data Extraction</w:t>
      </w:r>
    </w:p>
    <w:p w:rsidR="00000000" w:rsidDel="00000000" w:rsidP="00000000" w:rsidRDefault="00000000" w:rsidRPr="00000000" w14:paraId="00000086">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Rayyan was used to import the search results for screening. Titles, abstracts and full texts were independently screened by a team of six reviewers (S.R.S, D.W, M.H.I, S.N, H.T, A.N). Disagreements were resolved through discussion or by a third reviewer when necessary. Two reviewers independently extracted data from each included study using a standard form. Data included study details (author, year, country, design, sample size), patient details (age, sex, type of neuropathy, baseline pain level), the lacosamide dose used, the comparator, follow-up length, and all outcome data.</w:t>
      </w:r>
    </w:p>
    <w:p w:rsidR="00000000" w:rsidDel="00000000" w:rsidP="00000000" w:rsidRDefault="00000000" w:rsidRPr="00000000" w14:paraId="00000087">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Risk of Bias Assessment</w:t>
      </w:r>
    </w:p>
    <w:p w:rsidR="00000000" w:rsidDel="00000000" w:rsidP="00000000" w:rsidRDefault="00000000" w:rsidRPr="00000000" w14:paraId="00000088">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Two reviewers assessed risk of bias using the Cochrane RoB 2.0 tool [7] . Disagreements were resolved by discussion or a third reviewer.</w:t>
      </w:r>
    </w:p>
    <w:p w:rsidR="00000000" w:rsidDel="00000000" w:rsidP="00000000" w:rsidRDefault="00000000" w:rsidRPr="00000000" w14:paraId="00000089">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Synthesis of data and statistical analysis</w:t>
      </w:r>
    </w:p>
    <w:p w:rsidR="00000000" w:rsidDel="00000000" w:rsidP="00000000" w:rsidRDefault="00000000" w:rsidRPr="00000000" w14:paraId="0000008A">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Meta-analysis was done in RevMan 5.4 . Continuous outcomes, such as change in pain score, were pooled using the generic inverse variance method to give a mean difference. Outcomes reported as yes or no, such as responder rates and adverse events, were pooled using the Mantel Haenszel method to give a risk ratio. All results are reported with 95% confidence intervals. Heterogeneity was checked using the I² statistic and Cochran's Q test. Since heterogeneity was low across most of the pooled outcomes, a random effects model was still applied throughout to keep the approach consistent and to account for the clinical differences expected between studies, rather than switching between fixed and random effects models depending on the result for each outcome.</w:t>
      </w:r>
    </w:p>
    <w:p w:rsidR="00000000" w:rsidDel="00000000" w:rsidP="00000000" w:rsidRDefault="00000000" w:rsidRPr="00000000" w14:paraId="0000008B">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The main pooled analyses only included trials that compared lacosamide with placebo. Two trials, Kalpana 2025 and Tantawy 2025, compared lacosamide directly with another drug, pregabalin and gabapentin respectively, instead of placebo. These were kept out of the main pooling and are discussed separately in the text. Mujeeb ul Rehman 2022 was left out of the analysis completely because of a high risk of bias, since dropout numbers were uneven between groups and the study used a complete analysis instead of an intention to treat analysis.</w:t>
      </w:r>
    </w:p>
    <w:p w:rsidR="00000000" w:rsidDel="00000000" w:rsidP="00000000" w:rsidRDefault="00000000" w:rsidRPr="00000000" w14:paraId="0000008C">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One trial, Bianca 2019, used a crossover design. Its pain score data were pooled together with the parallel group trials, since a mean difference still gives a fair summary within patient comparison like this one. Its responder and adverse event data were treated differently though, since crossover periods are not independent groups and pooling them that way would have inflated the sample size. These results are instead described separately in the text where relevant.</w:t>
      </w:r>
    </w:p>
    <w:p w:rsidR="00000000" w:rsidDel="00000000" w:rsidP="00000000" w:rsidRDefault="00000000" w:rsidRPr="00000000" w14:paraId="0000008D">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For efficacy outcomes, we used the intention to treat the population throughout. For adverse events, we used the safety population wherever it was reported separately from the intention to treat the population. In a few cases a trial reported zero events in one arm, and where this happened, RevMan's default continuity correction was applied so a risk ratio could still be calculated.</w:t>
      </w:r>
    </w:p>
    <w:p w:rsidR="00000000" w:rsidDel="00000000" w:rsidP="00000000" w:rsidRDefault="00000000" w:rsidRPr="00000000" w14:paraId="0000008E">
      <w:pPr>
        <w:spacing w:line="480" w:lineRule="auto"/>
        <w:rPr>
          <w:rFonts w:ascii="Times New Roman" w:cs="Times New Roman" w:eastAsia="Times New Roman" w:hAnsi="Times New Roman"/>
          <w:color w:val="0d0d0d"/>
          <w:sz w:val="24"/>
          <w:szCs w:val="24"/>
        </w:rPr>
      </w:pPr>
      <w:r w:rsidDel="00000000" w:rsidR="00000000" w:rsidRPr="00000000">
        <w:rPr>
          <w:rtl w:val="0"/>
        </w:rPr>
      </w:r>
    </w:p>
    <w:p w:rsidR="00000000" w:rsidDel="00000000" w:rsidP="00000000" w:rsidRDefault="00000000" w:rsidRPr="00000000" w14:paraId="0000008F">
      <w:pPr>
        <w:spacing w:after="160"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w:t>
      </w:r>
    </w:p>
    <w:p w:rsidR="00000000" w:rsidDel="00000000" w:rsidP="00000000" w:rsidRDefault="00000000" w:rsidRPr="00000000" w14:paraId="00000090">
      <w:pPr>
        <w:spacing w:after="160" w:line="480" w:lineRule="auto"/>
        <w:rPr>
          <w:rFonts w:ascii="Times New Roman" w:cs="Times New Roman" w:eastAsia="Times New Roman" w:hAnsi="Times New Roman"/>
          <w:color w:val="0d0d0d"/>
        </w:rPr>
      </w:pPr>
      <w:r w:rsidDel="00000000" w:rsidR="00000000" w:rsidRPr="00000000">
        <w:rPr>
          <w:rtl w:val="0"/>
        </w:rPr>
      </w:r>
    </w:p>
    <w:p w:rsidR="00000000" w:rsidDel="00000000" w:rsidP="00000000" w:rsidRDefault="00000000" w:rsidRPr="00000000" w14:paraId="00000091">
      <w:pPr>
        <w:spacing w:after="160" w:line="480" w:lineRule="auto"/>
        <w:rPr>
          <w:rFonts w:ascii="Times New Roman" w:cs="Times New Roman" w:eastAsia="Times New Roman" w:hAnsi="Times New Roman"/>
          <w:color w:val="0d0d0d"/>
        </w:rPr>
      </w:pPr>
      <w:r w:rsidDel="00000000" w:rsidR="00000000" w:rsidRPr="00000000">
        <w:rPr>
          <w:rtl w:val="0"/>
        </w:rPr>
      </w:r>
    </w:p>
    <w:p w:rsidR="00000000" w:rsidDel="00000000" w:rsidP="00000000" w:rsidRDefault="00000000" w:rsidRPr="00000000" w14:paraId="00000092">
      <w:pPr>
        <w:spacing w:after="160" w:line="480" w:lineRule="auto"/>
        <w:rPr>
          <w:rFonts w:ascii="Times New Roman" w:cs="Times New Roman" w:eastAsia="Times New Roman" w:hAnsi="Times New Roman"/>
          <w:color w:val="0d0d0d"/>
        </w:rPr>
      </w:pPr>
      <w:r w:rsidDel="00000000" w:rsidR="00000000" w:rsidRPr="00000000">
        <w:rPr>
          <w:rtl w:val="0"/>
        </w:rPr>
      </w:r>
    </w:p>
    <w:p w:rsidR="00000000" w:rsidDel="00000000" w:rsidP="00000000" w:rsidRDefault="00000000" w:rsidRPr="00000000" w14:paraId="00000093">
      <w:pPr>
        <w:spacing w:line="480" w:lineRule="auto"/>
        <w:jc w:val="center"/>
        <w:rPr>
          <w:rFonts w:ascii="Times New Roman" w:cs="Times New Roman" w:eastAsia="Times New Roman" w:hAnsi="Times New Roman"/>
          <w:b w:val="1"/>
          <w:bCs w:val="1"/>
          <w:color w:val="0d0d0d"/>
          <w:sz w:val="32"/>
          <w:szCs w:val="32"/>
        </w:rPr>
      </w:pPr>
      <w:r w:rsidDel="00000000" w:rsidR="00000000" w:rsidRPr="00000000">
        <w:rPr>
          <w:rFonts w:ascii="Times New Roman" w:cs="Times New Roman" w:eastAsia="Times New Roman" w:hAnsi="Times New Roman"/>
          <w:b w:val="1"/>
          <w:bCs w:val="1"/>
          <w:color w:val="0d0d0d"/>
          <w:sz w:val="32"/>
          <w:szCs w:val="32"/>
          <w:rtl w:val="0"/>
        </w:rPr>
        <w:t xml:space="preserve">RESULTS</w:t>
      </w:r>
    </w:p>
    <w:p w:rsidR="00000000" w:rsidDel="00000000" w:rsidP="00000000" w:rsidRDefault="00000000" w:rsidRPr="00000000" w14:paraId="00000094">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Search results</w:t>
      </w:r>
    </w:p>
    <w:p w:rsidR="00000000" w:rsidDel="00000000" w:rsidP="00000000" w:rsidRDefault="00000000" w:rsidRPr="00000000" w14:paraId="00000095">
      <w:pPr>
        <w:spacing w:line="480" w:lineRule="auto"/>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color w:val="0d0d0d"/>
          <w:rtl w:val="0"/>
        </w:rPr>
        <w:t xml:space="preserve">The initial search showed 1,766 records, out of which 8 studies were from PubMed, 582 from Embase, 1,120 from Scopus, and 56 from the Cochrane Library. The 403 studies were duplicates and after their removal, 1,363 records were screened on the basis of titles and abstract selection. We excluded 1,328 records based on this selection and 35 articles were screened further. Out of these, 35 articles were retrieved and assessed for eligibility, of which 26 studies were excluded. Ultimately, 9 studies were included in the systematic review and meta-analysis. The study selection process is illustrated in the PRISMA flow diagram [fig 1].</w:t>
      </w:r>
      <w:r w:rsidDel="00000000" w:rsidR="00000000" w:rsidRPr="00000000">
        <w:rPr>
          <w:rtl w:val="0"/>
        </w:rPr>
      </w:r>
    </w:p>
    <w:p w:rsidR="00000000" w:rsidDel="00000000" w:rsidP="00000000" w:rsidRDefault="00000000" w:rsidRPr="00000000" w14:paraId="00000096">
      <w:pPr>
        <w:spacing w:line="480" w:lineRule="auto"/>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b w:val="1"/>
          <w:bCs w:val="1"/>
          <w:color w:val="0d0d0d"/>
          <w:rtl w:val="0"/>
        </w:rPr>
        <w:t xml:space="preserve">PRISMA FLOW DIAGRAM</w:t>
      </w:r>
      <w:r w:rsidDel="00000000" w:rsidR="00000000" w:rsidRPr="00000000">
        <w:rPr>
          <w:rFonts w:ascii="Times New Roman" w:cs="Times New Roman" w:eastAsia="Times New Roman" w:hAnsi="Times New Roman"/>
          <w:color w:val="0d0d0d"/>
          <w:rtl w:val="0"/>
        </w:rPr>
        <w:t xml:space="preserve"> </w:t>
      </w:r>
      <w:r w:rsidDel="00000000" w:rsidR="00000000" w:rsidRPr="00000000">
        <w:rPr>
          <w:rFonts w:ascii="Times New Roman" w:cs="Times New Roman" w:eastAsia="Times New Roman" w:hAnsi="Times New Roman"/>
          <w:b w:val="1"/>
          <w:bCs w:val="1"/>
          <w:color w:val="0d0d0d"/>
          <w:rtl w:val="0"/>
        </w:rPr>
        <w:t xml:space="preserve">Figure 1</w:t>
      </w:r>
      <w:r w:rsidDel="00000000" w:rsidR="00000000" w:rsidRPr="00000000">
        <w:rPr>
          <w:rFonts w:ascii="Times New Roman" w:cs="Times New Roman" w:eastAsia="Times New Roman" w:hAnsi="Times New Roman"/>
          <w:color w:val="0d0d0d"/>
        </w:rPr>
        <w:drawing>
          <wp:inline distB="114300" distT="114300" distL="114300" distR="114300">
            <wp:extent cx="5731200" cy="5334000"/>
            <wp:effectExtent b="0" l="0" r="0" t="0"/>
            <wp:docPr id="1" name="image2.png"/>
            <a:graphic>
              <a:graphicData uri="http://schemas.openxmlformats.org/drawingml/2006/picture">
                <pic:pic>
                  <pic:nvPicPr>
                    <pic:cNvPr id="0" name="image2.png"/>
                    <pic:cNvPicPr preferRelativeResize="0"/>
                  </pic:nvPicPr>
                  <pic:blipFill>
                    <a:blip r:embed="rId20"/>
                    <a:srcRect b="0" l="0" r="0" t="0"/>
                    <a:stretch>
                      <a:fillRect/>
                    </a:stretch>
                  </pic:blipFill>
                  <pic:spPr>
                    <a:xfrm>
                      <a:off x="0" y="0"/>
                      <a:ext cx="5731200" cy="5334000"/>
                    </a:xfrm>
                    <a:prstGeom prst="rect"/>
                    <a:ln/>
                  </pic:spPr>
                </pic:pic>
              </a:graphicData>
            </a:graphic>
          </wp:inline>
        </w:drawing>
      </w:r>
      <w:r w:rsidDel="00000000" w:rsidR="00000000" w:rsidRPr="00000000">
        <w:rPr>
          <w:rtl w:val="0"/>
        </w:rPr>
      </w:r>
    </w:p>
    <w:p w:rsidR="00000000" w:rsidDel="00000000" w:rsidP="00000000" w:rsidRDefault="00000000" w:rsidRPr="00000000" w14:paraId="00000097">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w:t>
      </w:r>
    </w:p>
    <w:p w:rsidR="00000000" w:rsidDel="00000000" w:rsidP="00000000" w:rsidRDefault="00000000" w:rsidRPr="00000000" w14:paraId="00000098">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Baseline characteristics</w:t>
      </w:r>
    </w:p>
    <w:p w:rsidR="00000000" w:rsidDel="00000000" w:rsidP="00000000" w:rsidRDefault="00000000" w:rsidRPr="00000000" w14:paraId="00000099">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The baseline characteristics of all the nine studies comprising 1,314 participants are summarized in Fig 1. Most of them were double- blind, randomized, placebo-controlled trials, while one study employed crossover design and two used active comparators. The studies were conducted in the United States, Denmark, Iran, Pakistan, Egypt, India, the Netherlands, and multinational European centres.</w:t>
      </w:r>
    </w:p>
    <w:p w:rsidR="00000000" w:rsidDel="00000000" w:rsidP="00000000" w:rsidRDefault="00000000" w:rsidRPr="00000000" w14:paraId="0000009A">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Starting with the demographics, the mean age was similar in both treatment groups, ranging approximately from </w:t>
      </w:r>
      <w:r w:rsidDel="00000000" w:rsidR="00000000" w:rsidRPr="00000000">
        <w:rPr>
          <w:rFonts w:ascii="Times New Roman" w:cs="Times New Roman" w:eastAsia="Times New Roman" w:hAnsi="Times New Roman"/>
          <w:b w:val="1"/>
          <w:bCs w:val="1"/>
          <w:color w:val="0d0d0d"/>
          <w:rtl w:val="0"/>
        </w:rPr>
        <w:t xml:space="preserve">40.3 to 60.3 years</w:t>
      </w:r>
      <w:r w:rsidDel="00000000" w:rsidR="00000000" w:rsidRPr="00000000">
        <w:rPr>
          <w:rFonts w:ascii="Times New Roman" w:cs="Times New Roman" w:eastAsia="Times New Roman" w:hAnsi="Times New Roman"/>
          <w:color w:val="0d0d0d"/>
          <w:rtl w:val="0"/>
        </w:rPr>
        <w:t xml:space="preserve">, with </w:t>
      </w:r>
      <w:r w:rsidDel="00000000" w:rsidR="00000000" w:rsidRPr="00000000">
        <w:rPr>
          <w:rFonts w:ascii="Times New Roman" w:cs="Times New Roman" w:eastAsia="Times New Roman" w:hAnsi="Times New Roman"/>
          <w:b w:val="1"/>
          <w:bCs w:val="1"/>
          <w:color w:val="0d0d0d"/>
          <w:rtl w:val="0"/>
        </w:rPr>
        <w:t xml:space="preserve">male participants ranging from 10% to 68.8% across the treatment groups</w:t>
      </w:r>
      <w:r w:rsidDel="00000000" w:rsidR="00000000" w:rsidRPr="00000000">
        <w:rPr>
          <w:rFonts w:ascii="Times New Roman" w:cs="Times New Roman" w:eastAsia="Times New Roman" w:hAnsi="Times New Roman"/>
          <w:color w:val="0d0d0d"/>
          <w:rtl w:val="0"/>
        </w:rPr>
        <w:t xml:space="preserve">. The status of comorbidity was also generally balanced between the intervention and control arms within the studies. The majority of the patients had </w:t>
      </w:r>
      <w:r w:rsidDel="00000000" w:rsidR="00000000" w:rsidRPr="00000000">
        <w:rPr>
          <w:rFonts w:ascii="Times New Roman" w:cs="Times New Roman" w:eastAsia="Times New Roman" w:hAnsi="Times New Roman"/>
          <w:i w:val="1"/>
          <w:iCs w:val="1"/>
          <w:color w:val="0d0d0d"/>
          <w:rtl w:val="0"/>
        </w:rPr>
        <w:t xml:space="preserve">diabetes mellitus-associated neuropathy</w:t>
      </w:r>
      <w:r w:rsidDel="00000000" w:rsidR="00000000" w:rsidRPr="00000000">
        <w:rPr>
          <w:rFonts w:ascii="Times New Roman" w:cs="Times New Roman" w:eastAsia="Times New Roman" w:hAnsi="Times New Roman"/>
          <w:color w:val="0d0d0d"/>
          <w:rtl w:val="0"/>
        </w:rPr>
        <w:t xml:space="preserve">. The duration of diabetes ranged from 9.7 to 11.1 years and neuropathy duration ranged from 3.1 to 3.8 years in studies reporting this data. Baseline pain intensity was generally comparable between treatment groups, with mean NPRS/VAS scores ranging from 6.2 to 6.6, indicating moderate-to-severe pain at study entry.</w:t>
      </w:r>
    </w:p>
    <w:p w:rsidR="00000000" w:rsidDel="00000000" w:rsidP="00000000" w:rsidRDefault="00000000" w:rsidRPr="00000000" w14:paraId="0000009B">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Quality assessment</w:t>
      </w:r>
    </w:p>
    <w:p w:rsidR="00000000" w:rsidDel="00000000" w:rsidP="00000000" w:rsidRDefault="00000000" w:rsidRPr="00000000" w14:paraId="0000009C">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The quality assessment of all the included randomized controlled trials was performed using the Cochrane Risk of bias 2 (ROB 2). Four studies were judged to have an overall low risk of bias across all the five domains, including the randomization process, deviation from intended interventions, missing outcome data, measurement of the outcome, and selection of the reported results, three studies raised some concerns, mainly due to concerns regarding the selection of the reported results. The remaining three studies were judged to have an overall high risk of bias because of concerns across multiple domains. A detailed assessment of the risk of bias for each study is provided in supplementary figure 1.</w:t>
      </w:r>
    </w:p>
    <w:p w:rsidR="00000000" w:rsidDel="00000000" w:rsidP="00000000" w:rsidRDefault="00000000" w:rsidRPr="00000000" w14:paraId="0000009D">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GRADE assessment</w:t>
      </w:r>
    </w:p>
    <w:p w:rsidR="00000000" w:rsidDel="00000000" w:rsidP="00000000" w:rsidRDefault="00000000" w:rsidRPr="00000000" w14:paraId="0000009E">
      <w:pPr>
        <w:spacing w:line="480" w:lineRule="auto"/>
        <w:rPr>
          <w:rFonts w:ascii="Times New Roman" w:cs="Times New Roman" w:eastAsia="Times New Roman" w:hAnsi="Times New Roman"/>
          <w:color w:val="0d0d0d"/>
        </w:rPr>
      </w:pPr>
      <w:r w:rsidDel="00000000" w:rsidR="00000000" w:rsidRPr="00000000">
        <w:rPr>
          <w:rFonts w:ascii="Gungsuh" w:cs="Gungsuh" w:eastAsia="Gungsuh" w:hAnsi="Gungsuh"/>
          <w:color w:val="0d0d0d"/>
          <w:rtl w:val="0"/>
        </w:rPr>
        <w:t xml:space="preserve">GRADE assessment demonstrated that lacosamide was associated with significant reduction in pain intensity (MD −0.69, 95% CI −1.08 to −0.30), backed by moderate-certainty evidence. Although lacosamide showed favourable effects for achieving ≥30% pain reduction (RR 1.79, 95% CI 0.65–4.91) and ≥50% pain reduction (RR 2.01, 95% CI 0.84–4.79), but with low certainty evidence, mainly due to serious imprecision resulting from wide confidence intervals. Similarly, improvement in Patient Global Impression of Change (PGIC) (RR 1.19, 95% CI 0.99–1.44) was supported by moderate-certainty evidence, although the pooled effect did not reach statistical significance.</w:t>
      </w:r>
    </w:p>
    <w:p w:rsidR="00000000" w:rsidDel="00000000" w:rsidP="00000000" w:rsidRDefault="00000000" w:rsidRPr="00000000" w14:paraId="0000009F">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Among the safety outcomes, mild neurological symptoms like dizziness (RR 2.64, 95% CI 1.28–5.42), treatment discontinuation due to adverse events (RR 1.72, 95% CI 1.01–2.94), headache (RR 0.81, 95% CI 0.47–1.38) and overall adverse events (RR 1.05, 95% CI 0.89–1.24) were also backed by moderate-certainty evidence despite the absence of statistically significant differences between treatment groups. Serious adverse events, diarrhea, paraesthesia, back pain, tremor, somnolence, and fatigue demonstrated low-certainty evidence, primarily due to imprecision and, for selected outcomes, inconsistency. Outcomes like PGIC worsening and DSIS were backed by very low-certainty evidence.  Overall, the evidence was most robust for the reduction in pain intensity and the increased risk of dizziness and treatment discontinuation with lacosamide, whereas uncertainty remains regarding several secondary efficacy and safety outcomes because of limited sample sizes and imprecise effect estimates.</w:t>
      </w:r>
    </w:p>
    <w:p w:rsidR="00000000" w:rsidDel="00000000" w:rsidP="00000000" w:rsidRDefault="00000000" w:rsidRPr="00000000" w14:paraId="000000A0">
      <w:pPr>
        <w:spacing w:line="480" w:lineRule="auto"/>
        <w:rPr>
          <w:rFonts w:ascii="Times New Roman" w:cs="Times New Roman" w:eastAsia="Times New Roman" w:hAnsi="Times New Roman"/>
          <w:b w:val="1"/>
          <w:bCs w:val="1"/>
          <w:color w:val="0d0d0d"/>
          <w:sz w:val="32"/>
          <w:szCs w:val="32"/>
        </w:rPr>
      </w:pPr>
      <w:r w:rsidDel="00000000" w:rsidR="00000000" w:rsidRPr="00000000">
        <w:rPr>
          <w:rFonts w:ascii="Times New Roman" w:cs="Times New Roman" w:eastAsia="Times New Roman" w:hAnsi="Times New Roman"/>
          <w:b w:val="1"/>
          <w:bCs w:val="1"/>
          <w:color w:val="0d0d0d"/>
          <w:sz w:val="32"/>
          <w:szCs w:val="32"/>
          <w:rtl w:val="0"/>
        </w:rPr>
        <w:t xml:space="preserve">Outcomes:</w:t>
      </w:r>
    </w:p>
    <w:p w:rsidR="00000000" w:rsidDel="00000000" w:rsidP="00000000" w:rsidRDefault="00000000" w:rsidRPr="00000000" w14:paraId="000000A1">
      <w:pPr>
        <w:spacing w:line="480" w:lineRule="auto"/>
        <w:ind w:left="720" w:firstLine="0"/>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color w:val="0d0d0d"/>
          <w:sz w:val="14"/>
          <w:szCs w:val="14"/>
          <w:rtl w:val="0"/>
        </w:rPr>
        <w:t xml:space="preserve"> </w:t>
        <w:tab/>
      </w:r>
      <w:r w:rsidDel="00000000" w:rsidR="00000000" w:rsidRPr="00000000">
        <w:rPr>
          <w:rFonts w:ascii="Times New Roman" w:cs="Times New Roman" w:eastAsia="Times New Roman" w:hAnsi="Times New Roman"/>
          <w:b w:val="1"/>
          <w:bCs w:val="1"/>
          <w:color w:val="0d0d0d"/>
          <w:sz w:val="28"/>
          <w:szCs w:val="28"/>
          <w:rtl w:val="0"/>
        </w:rPr>
        <w:t xml:space="preserve">I.</w:t>
      </w: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b w:val="1"/>
          <w:bCs w:val="1"/>
          <w:color w:val="0d0d0d"/>
          <w:sz w:val="28"/>
          <w:szCs w:val="28"/>
          <w:rtl w:val="0"/>
        </w:rPr>
        <w:t xml:space="preserve">Primary Outcomes</w:t>
      </w:r>
    </w:p>
    <w:p w:rsidR="00000000" w:rsidDel="00000000" w:rsidP="00000000" w:rsidRDefault="00000000" w:rsidRPr="00000000" w14:paraId="000000A2">
      <w:pPr>
        <w:spacing w:line="480" w:lineRule="auto"/>
        <w:ind w:left="360" w:firstLine="0"/>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Change in Pain Intensity (NPRS/VAS)</w:t>
      </w:r>
    </w:p>
    <w:p w:rsidR="00000000" w:rsidDel="00000000" w:rsidP="00000000" w:rsidRDefault="00000000" w:rsidRPr="00000000" w14:paraId="000000A3">
      <w:pPr>
        <w:spacing w:line="480" w:lineRule="auto"/>
        <w:ind w:left="36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Four out of nine placebo-controlled randomized trials reported the effect of lacosamide on change in pain intensity measured using the Numeric Pain Rating Scale (NPRS) or Visual Analogue Scale (VAS). The overall pooled effect showed that lacosamide significantly reduced pain intensity compared with placebo (</w:t>
      </w:r>
      <w:r w:rsidDel="00000000" w:rsidR="00000000" w:rsidRPr="00000000">
        <w:rPr>
          <w:rFonts w:ascii="Gungsuh" w:cs="Gungsuh" w:eastAsia="Gungsuh" w:hAnsi="Gungsuh"/>
          <w:b w:val="1"/>
          <w:bCs w:val="1"/>
          <w:color w:val="0d0d0d"/>
          <w:rtl w:val="0"/>
        </w:rPr>
        <w:t xml:space="preserve">MD = −0.69, 95% CI −1.08 to −0.30; P &lt; 0.001</w:t>
      </w:r>
      <w:r w:rsidDel="00000000" w:rsidR="00000000" w:rsidRPr="00000000">
        <w:rPr>
          <w:rFonts w:ascii="Times New Roman" w:cs="Times New Roman" w:eastAsia="Times New Roman" w:hAnsi="Times New Roman"/>
          <w:color w:val="0d0d0d"/>
          <w:rtl w:val="0"/>
        </w:rPr>
        <w:t xml:space="preserve">). There was </w:t>
      </w:r>
      <w:r w:rsidDel="00000000" w:rsidR="00000000" w:rsidRPr="00000000">
        <w:rPr>
          <w:rFonts w:ascii="Times New Roman" w:cs="Times New Roman" w:eastAsia="Times New Roman" w:hAnsi="Times New Roman"/>
          <w:b w:val="1"/>
          <w:bCs w:val="1"/>
          <w:color w:val="0d0d0d"/>
          <w:rtl w:val="0"/>
        </w:rPr>
        <w:t xml:space="preserve">no evidence of statistical heterogeneity (I² = 0%)</w:t>
      </w:r>
      <w:r w:rsidDel="00000000" w:rsidR="00000000" w:rsidRPr="00000000">
        <w:rPr>
          <w:rFonts w:ascii="Times New Roman" w:cs="Times New Roman" w:eastAsia="Times New Roman" w:hAnsi="Times New Roman"/>
          <w:color w:val="0d0d0d"/>
          <w:rtl w:val="0"/>
        </w:rPr>
        <w:t xml:space="preserve">, indicating a modest but consistent analgesic effect of lacosamide across the included studies.</w:t>
      </w:r>
    </w:p>
    <w:p w:rsidR="00000000" w:rsidDel="00000000" w:rsidP="00000000" w:rsidRDefault="00000000" w:rsidRPr="00000000" w14:paraId="000000A4">
      <w:pPr>
        <w:spacing w:line="480" w:lineRule="auto"/>
        <w:ind w:left="360" w:firstLine="0"/>
        <w:rPr>
          <w:rFonts w:ascii="Times New Roman" w:cs="Times New Roman" w:eastAsia="Times New Roman" w:hAnsi="Times New Roman"/>
          <w:color w:val="0d0d0d"/>
          <w:sz w:val="28"/>
          <w:szCs w:val="28"/>
        </w:rPr>
      </w:pPr>
      <w:r w:rsidDel="00000000" w:rsidR="00000000" w:rsidRPr="00000000">
        <w:rPr>
          <w:rFonts w:ascii="Times New Roman" w:cs="Times New Roman" w:eastAsia="Times New Roman" w:hAnsi="Times New Roman"/>
          <w:color w:val="0d0d0d"/>
          <w:sz w:val="28"/>
          <w:szCs w:val="28"/>
          <w:rtl w:val="0"/>
        </w:rPr>
        <w:t xml:space="preserve"> </w:t>
      </w:r>
    </w:p>
    <w:p w:rsidR="00000000" w:rsidDel="00000000" w:rsidP="00000000" w:rsidRDefault="00000000" w:rsidRPr="00000000" w14:paraId="000000A5">
      <w:pPr>
        <w:numPr>
          <w:ilvl w:val="0"/>
          <w:numId w:val="8"/>
        </w:numPr>
        <w:spacing w:line="480" w:lineRule="auto"/>
        <w:ind w:left="720" w:hanging="360"/>
        <w:rPr>
          <w:rFonts w:ascii="Times New Roman" w:cs="Times New Roman" w:eastAsia="Times New Roman" w:hAnsi="Times New Roman"/>
          <w:color w:val="0d0d0d"/>
          <w:u w:val="none"/>
        </w:rPr>
      </w:pP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Gungsuh" w:cs="Gungsuh" w:eastAsia="Gungsuh" w:hAnsi="Gungsuh"/>
          <w:b w:val="1"/>
          <w:bCs w:val="1"/>
          <w:color w:val="0d0d0d"/>
          <w:sz w:val="28"/>
          <w:szCs w:val="28"/>
          <w:rtl w:val="0"/>
        </w:rPr>
        <w:t xml:space="preserve">≥30% Pain Reduction</w:t>
      </w:r>
    </w:p>
    <w:p w:rsidR="00000000" w:rsidDel="00000000" w:rsidP="00000000" w:rsidRDefault="00000000" w:rsidRPr="00000000" w14:paraId="000000A6">
      <w:pPr>
        <w:spacing w:line="480" w:lineRule="auto"/>
        <w:ind w:left="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Only two studies reported data on the proportion of patients achieving at least a </w:t>
      </w:r>
      <w:r w:rsidDel="00000000" w:rsidR="00000000" w:rsidRPr="00000000">
        <w:rPr>
          <w:rFonts w:ascii="Times New Roman" w:cs="Times New Roman" w:eastAsia="Times New Roman" w:hAnsi="Times New Roman"/>
          <w:b w:val="1"/>
          <w:bCs w:val="1"/>
          <w:color w:val="0d0d0d"/>
          <w:rtl w:val="0"/>
        </w:rPr>
        <w:t xml:space="preserve">30% reduction in pain intensity</w:t>
      </w:r>
      <w:r w:rsidDel="00000000" w:rsidR="00000000" w:rsidRPr="00000000">
        <w:rPr>
          <w:rFonts w:ascii="Gungsuh" w:cs="Gungsuh" w:eastAsia="Gungsuh" w:hAnsi="Gungsuh"/>
          <w:color w:val="0d0d0d"/>
          <w:rtl w:val="0"/>
        </w:rPr>
        <w:t xml:space="preserve">. Although lacosamide provided a favourable effect for achieving ≥30% pain reduction, the difference did not reach statistical significance (</w:t>
      </w:r>
      <w:r w:rsidDel="00000000" w:rsidR="00000000" w:rsidRPr="00000000">
        <w:rPr>
          <w:rFonts w:ascii="Times New Roman" w:cs="Times New Roman" w:eastAsia="Times New Roman" w:hAnsi="Times New Roman"/>
          <w:b w:val="1"/>
          <w:bCs w:val="1"/>
          <w:color w:val="0d0d0d"/>
          <w:rtl w:val="0"/>
        </w:rPr>
        <w:t xml:space="preserve">RR = 1.79, 95% CI 0.65 -- 4.91; P = 0.26</w:t>
      </w:r>
      <w:r w:rsidDel="00000000" w:rsidR="00000000" w:rsidRPr="00000000">
        <w:rPr>
          <w:rFonts w:ascii="Times New Roman" w:cs="Times New Roman" w:eastAsia="Times New Roman" w:hAnsi="Times New Roman"/>
          <w:color w:val="0d0d0d"/>
          <w:rtl w:val="0"/>
        </w:rPr>
        <w:t xml:space="preserve">). Moderate heterogeneity (</w:t>
      </w:r>
      <w:r w:rsidDel="00000000" w:rsidR="00000000" w:rsidRPr="00000000">
        <w:rPr>
          <w:rFonts w:ascii="Times New Roman" w:cs="Times New Roman" w:eastAsia="Times New Roman" w:hAnsi="Times New Roman"/>
          <w:b w:val="1"/>
          <w:bCs w:val="1"/>
          <w:color w:val="0d0d0d"/>
          <w:rtl w:val="0"/>
        </w:rPr>
        <w:t xml:space="preserve">I² = 58%</w:t>
      </w:r>
      <w:r w:rsidDel="00000000" w:rsidR="00000000" w:rsidRPr="00000000">
        <w:rPr>
          <w:rFonts w:ascii="Times New Roman" w:cs="Times New Roman" w:eastAsia="Times New Roman" w:hAnsi="Times New Roman"/>
          <w:color w:val="0d0d0d"/>
          <w:rtl w:val="0"/>
        </w:rPr>
        <w:t xml:space="preserve">) was reported across the trials.</w:t>
      </w:r>
    </w:p>
    <w:p w:rsidR="00000000" w:rsidDel="00000000" w:rsidP="00000000" w:rsidRDefault="00000000" w:rsidRPr="00000000" w14:paraId="000000A7">
      <w:pPr>
        <w:numPr>
          <w:ilvl w:val="0"/>
          <w:numId w:val="4"/>
        </w:numPr>
        <w:spacing w:line="480" w:lineRule="auto"/>
        <w:ind w:left="720" w:hanging="360"/>
        <w:rPr>
          <w:rFonts w:ascii="Times New Roman" w:cs="Times New Roman" w:eastAsia="Times New Roman" w:hAnsi="Times New Roman"/>
          <w:color w:val="0d0d0d"/>
          <w:u w:val="none"/>
        </w:rPr>
      </w:pP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Gungsuh" w:cs="Gungsuh" w:eastAsia="Gungsuh" w:hAnsi="Gungsuh"/>
          <w:b w:val="1"/>
          <w:bCs w:val="1"/>
          <w:color w:val="0d0d0d"/>
          <w:sz w:val="28"/>
          <w:szCs w:val="28"/>
          <w:rtl w:val="0"/>
        </w:rPr>
        <w:t xml:space="preserve">≥50% Pain Reduction</w:t>
      </w:r>
    </w:p>
    <w:p w:rsidR="00000000" w:rsidDel="00000000" w:rsidP="00000000" w:rsidRDefault="00000000" w:rsidRPr="00000000" w14:paraId="000000A8">
      <w:pPr>
        <w:spacing w:line="480" w:lineRule="auto"/>
        <w:ind w:left="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For a</w:t>
      </w:r>
      <w:r w:rsidDel="00000000" w:rsidR="00000000" w:rsidRPr="00000000">
        <w:rPr>
          <w:rFonts w:ascii="Gungsuh" w:cs="Gungsuh" w:eastAsia="Gungsuh" w:hAnsi="Gungsuh"/>
          <w:color w:val="0d0d0d"/>
          <w:rtl w:val="0"/>
        </w:rPr>
        <w:t xml:space="preserve"> ≥30% pain reduction outcome, only two trials evaluated the proportion of patients achieving at least a 50% reduction in pain intensity. Patients treated with lacosamide showed a numerically greater likelihood of achieving this outcome, however, the overall pooled analysis was not statistically significant (</w:t>
      </w:r>
      <w:r w:rsidDel="00000000" w:rsidR="00000000" w:rsidRPr="00000000">
        <w:rPr>
          <w:rFonts w:ascii="Times New Roman" w:cs="Times New Roman" w:eastAsia="Times New Roman" w:hAnsi="Times New Roman"/>
          <w:b w:val="1"/>
          <w:bCs w:val="1"/>
          <w:color w:val="0d0d0d"/>
          <w:rtl w:val="0"/>
        </w:rPr>
        <w:t xml:space="preserve">RR = 2.01, 95% CI 0.84–4.79; P = 0.11</w:t>
      </w:r>
      <w:r w:rsidDel="00000000" w:rsidR="00000000" w:rsidRPr="00000000">
        <w:rPr>
          <w:rFonts w:ascii="Times New Roman" w:cs="Times New Roman" w:eastAsia="Times New Roman" w:hAnsi="Times New Roman"/>
          <w:color w:val="0d0d0d"/>
          <w:rtl w:val="0"/>
        </w:rPr>
        <w:t xml:space="preserve">). Low heterogeneity </w:t>
      </w:r>
      <w:r w:rsidDel="00000000" w:rsidR="00000000" w:rsidRPr="00000000">
        <w:rPr>
          <w:rFonts w:ascii="Times New Roman" w:cs="Times New Roman" w:eastAsia="Times New Roman" w:hAnsi="Times New Roman"/>
          <w:b w:val="1"/>
          <w:bCs w:val="1"/>
          <w:color w:val="0d0d0d"/>
          <w:rtl w:val="0"/>
        </w:rPr>
        <w:t xml:space="preserve">(I² = 25%)</w:t>
      </w:r>
      <w:r w:rsidDel="00000000" w:rsidR="00000000" w:rsidRPr="00000000">
        <w:rPr>
          <w:rFonts w:ascii="Times New Roman" w:cs="Times New Roman" w:eastAsia="Times New Roman" w:hAnsi="Times New Roman"/>
          <w:color w:val="0d0d0d"/>
          <w:rtl w:val="0"/>
        </w:rPr>
        <w:t xml:space="preserve"> was found, confirming the consistency of lacosamide effect across the study findings.</w:t>
      </w:r>
    </w:p>
    <w:p w:rsidR="00000000" w:rsidDel="00000000" w:rsidP="00000000" w:rsidRDefault="00000000" w:rsidRPr="00000000" w14:paraId="000000A9">
      <w:pPr>
        <w:spacing w:line="480" w:lineRule="auto"/>
        <w:ind w:left="720" w:firstLine="0"/>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b w:val="1"/>
          <w:bCs w:val="1"/>
          <w:color w:val="0d0d0d"/>
          <w:rtl w:val="0"/>
        </w:rPr>
        <w:t xml:space="preserve">II.</w:t>
      </w: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b w:val="1"/>
          <w:bCs w:val="1"/>
          <w:color w:val="0d0d0d"/>
          <w:sz w:val="28"/>
          <w:szCs w:val="28"/>
          <w:rtl w:val="0"/>
        </w:rPr>
        <w:t xml:space="preserve">Secondary Efficacy Outcomes</w:t>
      </w:r>
    </w:p>
    <w:p w:rsidR="00000000" w:rsidDel="00000000" w:rsidP="00000000" w:rsidRDefault="00000000" w:rsidRPr="00000000" w14:paraId="000000AA">
      <w:pPr>
        <w:spacing w:line="480" w:lineRule="auto"/>
        <w:ind w:left="0" w:firstLine="0"/>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Patient Global Impression of Change (PGIC) Improved</w:t>
      </w:r>
    </w:p>
    <w:p w:rsidR="00000000" w:rsidDel="00000000" w:rsidP="00000000" w:rsidRDefault="00000000" w:rsidRPr="00000000" w14:paraId="000000AB">
      <w:pPr>
        <w:spacing w:line="480" w:lineRule="auto"/>
        <w:ind w:left="0" w:firstLine="0"/>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color w:val="0d0d0d"/>
          <w:rtl w:val="0"/>
        </w:rPr>
        <w:t xml:space="preserve">Two out of nine trials assessed improvement in the overall clinical status using the </w:t>
      </w:r>
      <w:r w:rsidDel="00000000" w:rsidR="00000000" w:rsidRPr="00000000">
        <w:rPr>
          <w:rFonts w:ascii="Times New Roman" w:cs="Times New Roman" w:eastAsia="Times New Roman" w:hAnsi="Times New Roman"/>
          <w:b w:val="1"/>
          <w:bCs w:val="1"/>
          <w:color w:val="0d0d0d"/>
          <w:rtl w:val="0"/>
        </w:rPr>
        <w:t xml:space="preserve">Patient Global Impression of Change (PGIC)</w:t>
      </w:r>
      <w:r w:rsidDel="00000000" w:rsidR="00000000" w:rsidRPr="00000000">
        <w:rPr>
          <w:rFonts w:ascii="Times New Roman" w:cs="Times New Roman" w:eastAsia="Times New Roman" w:hAnsi="Times New Roman"/>
          <w:color w:val="0d0d0d"/>
          <w:rtl w:val="0"/>
        </w:rPr>
        <w:t xml:space="preserve"> scale.  The overall pooled effect demonstrated that lacosamide improved the PGIC score, however, it was statistically non-significant (</w:t>
      </w:r>
      <w:r w:rsidDel="00000000" w:rsidR="00000000" w:rsidRPr="00000000">
        <w:rPr>
          <w:rFonts w:ascii="Times New Roman" w:cs="Times New Roman" w:eastAsia="Times New Roman" w:hAnsi="Times New Roman"/>
          <w:b w:val="1"/>
          <w:bCs w:val="1"/>
          <w:color w:val="0d0d0d"/>
          <w:rtl w:val="0"/>
        </w:rPr>
        <w:t xml:space="preserve">RR = 1.19, 95% CI 0.99–1.44; P = 0.06</w:t>
      </w:r>
      <w:r w:rsidDel="00000000" w:rsidR="00000000" w:rsidRPr="00000000">
        <w:rPr>
          <w:rFonts w:ascii="Times New Roman" w:cs="Times New Roman" w:eastAsia="Times New Roman" w:hAnsi="Times New Roman"/>
          <w:color w:val="0d0d0d"/>
          <w:rtl w:val="0"/>
        </w:rPr>
        <w:t xml:space="preserve">). There was an absence of statistical heterogeneity </w:t>
      </w:r>
      <w:r w:rsidDel="00000000" w:rsidR="00000000" w:rsidRPr="00000000">
        <w:rPr>
          <w:rFonts w:ascii="Times New Roman" w:cs="Times New Roman" w:eastAsia="Times New Roman" w:hAnsi="Times New Roman"/>
          <w:b w:val="1"/>
          <w:bCs w:val="1"/>
          <w:color w:val="0d0d0d"/>
          <w:rtl w:val="0"/>
        </w:rPr>
        <w:t xml:space="preserve">(I² = 0%).</w:t>
      </w:r>
    </w:p>
    <w:p w:rsidR="00000000" w:rsidDel="00000000" w:rsidP="00000000" w:rsidRDefault="00000000" w:rsidRPr="00000000" w14:paraId="000000AC">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b w:val="1"/>
          <w:bCs w:val="1"/>
          <w:color w:val="0d0d0d"/>
          <w:rtl w:val="0"/>
        </w:rPr>
        <w:t xml:space="preserve">Patient Global Impression of Change (PGIC): </w:t>
      </w:r>
      <w:r w:rsidDel="00000000" w:rsidR="00000000" w:rsidRPr="00000000">
        <w:rPr>
          <w:rFonts w:ascii="Times New Roman" w:cs="Times New Roman" w:eastAsia="Times New Roman" w:hAnsi="Times New Roman"/>
          <w:color w:val="0d0d0d"/>
          <w:rtl w:val="0"/>
        </w:rPr>
        <w:t xml:space="preserve">Worse</w:t>
      </w:r>
      <w:r w:rsidDel="00000000" w:rsidR="00000000" w:rsidRPr="00000000">
        <w:rPr>
          <w:rFonts w:ascii="Times New Roman" w:cs="Times New Roman" w:eastAsia="Times New Roman" w:hAnsi="Times New Roman"/>
          <w:b w:val="1"/>
          <w:bCs w:val="1"/>
          <w:color w:val="0d0d0d"/>
          <w:rtl w:val="0"/>
        </w:rPr>
        <w:t xml:space="preserve"> </w:t>
      </w:r>
      <w:r w:rsidDel="00000000" w:rsidR="00000000" w:rsidRPr="00000000">
        <w:rPr>
          <w:rFonts w:ascii="Times New Roman" w:cs="Times New Roman" w:eastAsia="Times New Roman" w:hAnsi="Times New Roman"/>
          <w:color w:val="0d0d0d"/>
          <w:rtl w:val="0"/>
        </w:rPr>
        <w:t xml:space="preserve">Only one study reported data on worsening of overall clinical status by using PGIC. As only a single study contributed data, quantitative analysis was not performed. There was no clinically meaningful difference between lacosamide and placebo for this outcome.</w:t>
      </w:r>
    </w:p>
    <w:p w:rsidR="00000000" w:rsidDel="00000000" w:rsidP="00000000" w:rsidRDefault="00000000" w:rsidRPr="00000000" w14:paraId="000000AD">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Daily Sleep Interference Scale (DSIS)</w:t>
      </w:r>
    </w:p>
    <w:p w:rsidR="00000000" w:rsidDel="00000000" w:rsidP="00000000" w:rsidRDefault="00000000" w:rsidRPr="00000000" w14:paraId="000000AE">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Only one trial assessed the sleep quality using the </w:t>
      </w:r>
      <w:r w:rsidDel="00000000" w:rsidR="00000000" w:rsidRPr="00000000">
        <w:rPr>
          <w:rFonts w:ascii="Times New Roman" w:cs="Times New Roman" w:eastAsia="Times New Roman" w:hAnsi="Times New Roman"/>
          <w:b w:val="1"/>
          <w:bCs w:val="1"/>
          <w:color w:val="0d0d0d"/>
          <w:rtl w:val="0"/>
        </w:rPr>
        <w:t xml:space="preserve">Daily Sleep Interference Scale (DSIS)</w:t>
      </w:r>
      <w:r w:rsidDel="00000000" w:rsidR="00000000" w:rsidRPr="00000000">
        <w:rPr>
          <w:rFonts w:ascii="Times New Roman" w:cs="Times New Roman" w:eastAsia="Times New Roman" w:hAnsi="Times New Roman"/>
          <w:color w:val="0d0d0d"/>
          <w:rtl w:val="0"/>
        </w:rPr>
        <w:t xml:space="preserve">. Because data was limited and reported only by one study, analysis was not feasible. The study demonstrated that lacosamide improved pain-related sleep interference compared with placebo; however, these findings should be interpreted cautiously owing to the limited available evidence.</w:t>
      </w:r>
    </w:p>
    <w:p w:rsidR="00000000" w:rsidDel="00000000" w:rsidP="00000000" w:rsidRDefault="00000000" w:rsidRPr="00000000" w14:paraId="000000AF">
      <w:pPr>
        <w:spacing w:line="480" w:lineRule="auto"/>
        <w:ind w:left="720" w:firstLine="0"/>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III.</w:t>
      </w: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b w:val="1"/>
          <w:bCs w:val="1"/>
          <w:color w:val="0d0d0d"/>
          <w:sz w:val="28"/>
          <w:szCs w:val="28"/>
          <w:rtl w:val="0"/>
        </w:rPr>
        <w:t xml:space="preserve">Safety Outcomes</w:t>
      </w:r>
    </w:p>
    <w:p w:rsidR="00000000" w:rsidDel="00000000" w:rsidP="00000000" w:rsidRDefault="00000000" w:rsidRPr="00000000" w14:paraId="000000B0">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Any Adverse Events</w:t>
      </w:r>
    </w:p>
    <w:p w:rsidR="00000000" w:rsidDel="00000000" w:rsidP="00000000" w:rsidRDefault="00000000" w:rsidRPr="00000000" w14:paraId="000000B1">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Three out of nine studies reported data on the overall incidence of adverse events. The pooled effect showed no statistically significant difference between the treatment groups (</w:t>
      </w:r>
      <w:r w:rsidDel="00000000" w:rsidR="00000000" w:rsidRPr="00000000">
        <w:rPr>
          <w:rFonts w:ascii="Times New Roman" w:cs="Times New Roman" w:eastAsia="Times New Roman" w:hAnsi="Times New Roman"/>
          <w:b w:val="1"/>
          <w:bCs w:val="1"/>
          <w:color w:val="0d0d0d"/>
          <w:rtl w:val="0"/>
        </w:rPr>
        <w:t xml:space="preserve">RR = 1.05, 95% CI 0.89–1.24; P = 0.57</w:t>
      </w:r>
      <w:r w:rsidDel="00000000" w:rsidR="00000000" w:rsidRPr="00000000">
        <w:rPr>
          <w:rFonts w:ascii="Times New Roman" w:cs="Times New Roman" w:eastAsia="Times New Roman" w:hAnsi="Times New Roman"/>
          <w:color w:val="0d0d0d"/>
          <w:rtl w:val="0"/>
        </w:rPr>
        <w:t xml:space="preserve">). Moderate heterogeneity was found across the studies</w:t>
      </w:r>
    </w:p>
    <w:p w:rsidR="00000000" w:rsidDel="00000000" w:rsidP="00000000" w:rsidRDefault="00000000" w:rsidRPr="00000000" w14:paraId="000000B2">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w:t>
      </w:r>
      <w:r w:rsidDel="00000000" w:rsidR="00000000" w:rsidRPr="00000000">
        <w:rPr>
          <w:rFonts w:ascii="Times New Roman" w:cs="Times New Roman" w:eastAsia="Times New Roman" w:hAnsi="Times New Roman"/>
          <w:b w:val="1"/>
          <w:bCs w:val="1"/>
          <w:color w:val="0d0d0d"/>
          <w:rtl w:val="0"/>
        </w:rPr>
        <w:t xml:space="preserve">I² = 50%</w:t>
      </w:r>
      <w:r w:rsidDel="00000000" w:rsidR="00000000" w:rsidRPr="00000000">
        <w:rPr>
          <w:rFonts w:ascii="Times New Roman" w:cs="Times New Roman" w:eastAsia="Times New Roman" w:hAnsi="Times New Roman"/>
          <w:color w:val="0d0d0d"/>
          <w:rtl w:val="0"/>
        </w:rPr>
        <w:t xml:space="preserve">).</w:t>
      </w:r>
    </w:p>
    <w:p w:rsidR="00000000" w:rsidDel="00000000" w:rsidP="00000000" w:rsidRDefault="00000000" w:rsidRPr="00000000" w14:paraId="000000B3">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Serious Adverse Events</w:t>
      </w:r>
    </w:p>
    <w:p w:rsidR="00000000" w:rsidDel="00000000" w:rsidP="00000000" w:rsidRDefault="00000000" w:rsidRPr="00000000" w14:paraId="000000B4">
      <w:pPr>
        <w:spacing w:line="480" w:lineRule="auto"/>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color w:val="0d0d0d"/>
          <w:rtl w:val="0"/>
        </w:rPr>
        <w:t xml:space="preserve">Only two trials evaluated the outcome of serious adverse events. There was no statistically significant difference between lacosamide and placebo (</w:t>
      </w:r>
      <w:r w:rsidDel="00000000" w:rsidR="00000000" w:rsidRPr="00000000">
        <w:rPr>
          <w:rFonts w:ascii="Times New Roman" w:cs="Times New Roman" w:eastAsia="Times New Roman" w:hAnsi="Times New Roman"/>
          <w:b w:val="1"/>
          <w:bCs w:val="1"/>
          <w:color w:val="0d0d0d"/>
          <w:rtl w:val="0"/>
        </w:rPr>
        <w:t xml:space="preserve">RR = 0.86, 95% CI 0.27–2.70; P = 0.80</w:t>
      </w:r>
      <w:r w:rsidDel="00000000" w:rsidR="00000000" w:rsidRPr="00000000">
        <w:rPr>
          <w:rFonts w:ascii="Times New Roman" w:cs="Times New Roman" w:eastAsia="Times New Roman" w:hAnsi="Times New Roman"/>
          <w:color w:val="0d0d0d"/>
          <w:rtl w:val="0"/>
        </w:rPr>
        <w:t xml:space="preserve">), with </w:t>
      </w:r>
      <w:r w:rsidDel="00000000" w:rsidR="00000000" w:rsidRPr="00000000">
        <w:rPr>
          <w:rFonts w:ascii="Times New Roman" w:cs="Times New Roman" w:eastAsia="Times New Roman" w:hAnsi="Times New Roman"/>
          <w:b w:val="1"/>
          <w:bCs w:val="1"/>
          <w:color w:val="0d0d0d"/>
          <w:rtl w:val="0"/>
        </w:rPr>
        <w:t xml:space="preserve">no heterogeneity (I² = 0%).</w:t>
      </w:r>
    </w:p>
    <w:p w:rsidR="00000000" w:rsidDel="00000000" w:rsidP="00000000" w:rsidRDefault="00000000" w:rsidRPr="00000000" w14:paraId="000000B5">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Treatment Discontinuation Due to Adverse Events</w:t>
      </w:r>
    </w:p>
    <w:p w:rsidR="00000000" w:rsidDel="00000000" w:rsidP="00000000" w:rsidRDefault="00000000" w:rsidRPr="00000000" w14:paraId="000000B6">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Only four out of nine trials reported data on treatment discontinuation due to adverse events. The overall pooled analysis demonstrated a borderline increased risk of treatment discontinuation with lacosamide than placebo (</w:t>
      </w:r>
      <w:r w:rsidDel="00000000" w:rsidR="00000000" w:rsidRPr="00000000">
        <w:rPr>
          <w:rFonts w:ascii="Times New Roman" w:cs="Times New Roman" w:eastAsia="Times New Roman" w:hAnsi="Times New Roman"/>
          <w:b w:val="1"/>
          <w:bCs w:val="1"/>
          <w:color w:val="0d0d0d"/>
          <w:rtl w:val="0"/>
        </w:rPr>
        <w:t xml:space="preserve">RR = 1.72, 95% CI 1.01–2.94; P = 0.05</w:t>
      </w:r>
      <w:r w:rsidDel="00000000" w:rsidR="00000000" w:rsidRPr="00000000">
        <w:rPr>
          <w:rFonts w:ascii="Times New Roman" w:cs="Times New Roman" w:eastAsia="Times New Roman" w:hAnsi="Times New Roman"/>
          <w:color w:val="0d0d0d"/>
          <w:rtl w:val="0"/>
        </w:rPr>
        <w:t xml:space="preserve">), with </w:t>
      </w:r>
      <w:r w:rsidDel="00000000" w:rsidR="00000000" w:rsidRPr="00000000">
        <w:rPr>
          <w:rFonts w:ascii="Times New Roman" w:cs="Times New Roman" w:eastAsia="Times New Roman" w:hAnsi="Times New Roman"/>
          <w:b w:val="1"/>
          <w:bCs w:val="1"/>
          <w:color w:val="0d0d0d"/>
          <w:rtl w:val="0"/>
        </w:rPr>
        <w:t xml:space="preserve">no heterogeneity (I² = 0%), </w:t>
      </w:r>
      <w:r w:rsidDel="00000000" w:rsidR="00000000" w:rsidRPr="00000000">
        <w:rPr>
          <w:rFonts w:ascii="Times New Roman" w:cs="Times New Roman" w:eastAsia="Times New Roman" w:hAnsi="Times New Roman"/>
          <w:color w:val="0d0d0d"/>
          <w:rtl w:val="0"/>
        </w:rPr>
        <w:t xml:space="preserve">indicating a consistent effect of lacosamide across the study findings.</w:t>
      </w:r>
    </w:p>
    <w:p w:rsidR="00000000" w:rsidDel="00000000" w:rsidP="00000000" w:rsidRDefault="00000000" w:rsidRPr="00000000" w14:paraId="000000B7">
      <w:pPr>
        <w:numPr>
          <w:ilvl w:val="0"/>
          <w:numId w:val="11"/>
        </w:numPr>
        <w:spacing w:line="480" w:lineRule="auto"/>
        <w:ind w:left="720" w:hanging="360"/>
        <w:rPr>
          <w:rFonts w:ascii="Times New Roman" w:cs="Times New Roman" w:eastAsia="Times New Roman" w:hAnsi="Times New Roman"/>
          <w:color w:val="0d0d0d"/>
          <w:u w:val="none"/>
        </w:rPr>
      </w:pP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b w:val="1"/>
          <w:bCs w:val="1"/>
          <w:color w:val="0d0d0d"/>
          <w:sz w:val="28"/>
          <w:szCs w:val="28"/>
          <w:rtl w:val="0"/>
        </w:rPr>
        <w:t xml:space="preserve">Nausea</w:t>
      </w:r>
    </w:p>
    <w:p w:rsidR="00000000" w:rsidDel="00000000" w:rsidP="00000000" w:rsidRDefault="00000000" w:rsidRPr="00000000" w14:paraId="000000B8">
      <w:pPr>
        <w:spacing w:line="480" w:lineRule="auto"/>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color w:val="0d0d0d"/>
          <w:rtl w:val="0"/>
        </w:rPr>
        <w:t xml:space="preserve">Four studies reported the incidence of nausea among the study population. There was no statistically significant difference between the treatment groups (</w:t>
      </w:r>
      <w:r w:rsidDel="00000000" w:rsidR="00000000" w:rsidRPr="00000000">
        <w:rPr>
          <w:rFonts w:ascii="Times New Roman" w:cs="Times New Roman" w:eastAsia="Times New Roman" w:hAnsi="Times New Roman"/>
          <w:b w:val="1"/>
          <w:bCs w:val="1"/>
          <w:color w:val="0d0d0d"/>
          <w:rtl w:val="0"/>
        </w:rPr>
        <w:t xml:space="preserve">RR = 1.09, 95% CI 0.53–2.26; P = 0.82</w:t>
      </w:r>
      <w:r w:rsidDel="00000000" w:rsidR="00000000" w:rsidRPr="00000000">
        <w:rPr>
          <w:rFonts w:ascii="Times New Roman" w:cs="Times New Roman" w:eastAsia="Times New Roman" w:hAnsi="Times New Roman"/>
          <w:color w:val="0d0d0d"/>
          <w:rtl w:val="0"/>
        </w:rPr>
        <w:t xml:space="preserve">), with </w:t>
      </w:r>
      <w:r w:rsidDel="00000000" w:rsidR="00000000" w:rsidRPr="00000000">
        <w:rPr>
          <w:rFonts w:ascii="Times New Roman" w:cs="Times New Roman" w:eastAsia="Times New Roman" w:hAnsi="Times New Roman"/>
          <w:b w:val="1"/>
          <w:bCs w:val="1"/>
          <w:color w:val="0d0d0d"/>
          <w:rtl w:val="0"/>
        </w:rPr>
        <w:t xml:space="preserve">no evidence of statistical heterogeneity (I² = 0%).</w:t>
      </w:r>
    </w:p>
    <w:p w:rsidR="00000000" w:rsidDel="00000000" w:rsidP="00000000" w:rsidRDefault="00000000" w:rsidRPr="00000000" w14:paraId="000000B9">
      <w:pPr>
        <w:numPr>
          <w:ilvl w:val="0"/>
          <w:numId w:val="10"/>
        </w:numPr>
        <w:spacing w:line="480" w:lineRule="auto"/>
        <w:ind w:left="720" w:hanging="360"/>
        <w:rPr>
          <w:rFonts w:ascii="Times New Roman" w:cs="Times New Roman" w:eastAsia="Times New Roman" w:hAnsi="Times New Roman"/>
          <w:color w:val="0d0d0d"/>
          <w:u w:val="none"/>
        </w:rPr>
      </w:pP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b w:val="1"/>
          <w:bCs w:val="1"/>
          <w:color w:val="0d0d0d"/>
          <w:sz w:val="28"/>
          <w:szCs w:val="28"/>
          <w:rtl w:val="0"/>
        </w:rPr>
        <w:t xml:space="preserve">Diarrhoea</w:t>
      </w:r>
    </w:p>
    <w:p w:rsidR="00000000" w:rsidDel="00000000" w:rsidP="00000000" w:rsidRDefault="00000000" w:rsidRPr="00000000" w14:paraId="000000BA">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Only two studies evaluated the incidence of diarrhoea as an adverse event. The incidence of diarrhoea was comparable between the treatment groups (</w:t>
      </w:r>
      <w:r w:rsidDel="00000000" w:rsidR="00000000" w:rsidRPr="00000000">
        <w:rPr>
          <w:rFonts w:ascii="Times New Roman" w:cs="Times New Roman" w:eastAsia="Times New Roman" w:hAnsi="Times New Roman"/>
          <w:b w:val="1"/>
          <w:bCs w:val="1"/>
          <w:color w:val="0d0d0d"/>
          <w:rtl w:val="0"/>
        </w:rPr>
        <w:t xml:space="preserve">RR = 0.53, 95% CI 0.22–1.24; P = 0.14</w:t>
      </w:r>
      <w:r w:rsidDel="00000000" w:rsidR="00000000" w:rsidRPr="00000000">
        <w:rPr>
          <w:rFonts w:ascii="Times New Roman" w:cs="Times New Roman" w:eastAsia="Times New Roman" w:hAnsi="Times New Roman"/>
          <w:color w:val="0d0d0d"/>
          <w:rtl w:val="0"/>
        </w:rPr>
        <w:t xml:space="preserve">). Statistical heterogeneity </w:t>
      </w:r>
      <w:r w:rsidDel="00000000" w:rsidR="00000000" w:rsidRPr="00000000">
        <w:rPr>
          <w:rFonts w:ascii="Times New Roman" w:cs="Times New Roman" w:eastAsia="Times New Roman" w:hAnsi="Times New Roman"/>
          <w:b w:val="1"/>
          <w:bCs w:val="1"/>
          <w:color w:val="0d0d0d"/>
          <w:rtl w:val="0"/>
        </w:rPr>
        <w:t xml:space="preserve">(I² = 0%)</w:t>
      </w:r>
      <w:r w:rsidDel="00000000" w:rsidR="00000000" w:rsidRPr="00000000">
        <w:rPr>
          <w:rFonts w:ascii="Times New Roman" w:cs="Times New Roman" w:eastAsia="Times New Roman" w:hAnsi="Times New Roman"/>
          <w:color w:val="0d0d0d"/>
          <w:rtl w:val="0"/>
        </w:rPr>
        <w:t xml:space="preserve"> was absent across the included studies.</w:t>
      </w:r>
    </w:p>
    <w:p w:rsidR="00000000" w:rsidDel="00000000" w:rsidP="00000000" w:rsidRDefault="00000000" w:rsidRPr="00000000" w14:paraId="000000BB">
      <w:pPr>
        <w:numPr>
          <w:ilvl w:val="0"/>
          <w:numId w:val="3"/>
        </w:numPr>
        <w:spacing w:line="480" w:lineRule="auto"/>
        <w:ind w:left="720" w:hanging="360"/>
        <w:rPr>
          <w:rFonts w:ascii="Times New Roman" w:cs="Times New Roman" w:eastAsia="Times New Roman" w:hAnsi="Times New Roman"/>
          <w:color w:val="0d0d0d"/>
          <w:u w:val="none"/>
        </w:rPr>
      </w:pP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b w:val="1"/>
          <w:bCs w:val="1"/>
          <w:color w:val="0d0d0d"/>
          <w:sz w:val="28"/>
          <w:szCs w:val="28"/>
          <w:rtl w:val="0"/>
        </w:rPr>
        <w:t xml:space="preserve">Headache</w:t>
      </w:r>
    </w:p>
    <w:p w:rsidR="00000000" w:rsidDel="00000000" w:rsidP="00000000" w:rsidRDefault="00000000" w:rsidRPr="00000000" w14:paraId="000000BC">
      <w:pPr>
        <w:spacing w:line="480" w:lineRule="auto"/>
        <w:ind w:left="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Three trials assessed the incidence of headache among the study population. The overall pooled effect showed no significant difference between lacosamide and placebo (</w:t>
      </w:r>
      <w:r w:rsidDel="00000000" w:rsidR="00000000" w:rsidRPr="00000000">
        <w:rPr>
          <w:rFonts w:ascii="Times New Roman" w:cs="Times New Roman" w:eastAsia="Times New Roman" w:hAnsi="Times New Roman"/>
          <w:b w:val="1"/>
          <w:bCs w:val="1"/>
          <w:color w:val="0d0d0d"/>
          <w:rtl w:val="0"/>
        </w:rPr>
        <w:t xml:space="preserve">RR = 0.81, 95% CI 0.47 - 1.38;</w:t>
      </w:r>
      <w:r w:rsidDel="00000000" w:rsidR="00000000" w:rsidRPr="00000000">
        <w:rPr>
          <w:rtl w:val="0"/>
        </w:rPr>
      </w:r>
    </w:p>
    <w:p w:rsidR="00000000" w:rsidDel="00000000" w:rsidP="00000000" w:rsidRDefault="00000000" w:rsidRPr="00000000" w14:paraId="000000BD">
      <w:pPr>
        <w:spacing w:line="480" w:lineRule="auto"/>
        <w:ind w:left="0" w:firstLine="0"/>
        <w:rPr>
          <w:rFonts w:ascii="Times New Roman" w:cs="Times New Roman" w:eastAsia="Times New Roman" w:hAnsi="Times New Roman"/>
          <w:color w:val="0d0d0d"/>
        </w:rPr>
      </w:pPr>
      <w:r w:rsidDel="00000000" w:rsidR="00000000" w:rsidRPr="00000000">
        <w:rPr>
          <w:rtl w:val="0"/>
        </w:rPr>
      </w:r>
    </w:p>
    <w:p w:rsidR="00000000" w:rsidDel="00000000" w:rsidP="00000000" w:rsidRDefault="00000000" w:rsidRPr="00000000" w14:paraId="000000BE">
      <w:pPr>
        <w:spacing w:line="480" w:lineRule="auto"/>
        <w:ind w:left="0" w:firstLine="0"/>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b w:val="1"/>
          <w:bCs w:val="1"/>
          <w:color w:val="0d0d0d"/>
          <w:rtl w:val="0"/>
        </w:rPr>
        <w:t xml:space="preserve">0.81 P = 0.43</w:t>
      </w:r>
      <w:r w:rsidDel="00000000" w:rsidR="00000000" w:rsidRPr="00000000">
        <w:rPr>
          <w:rFonts w:ascii="Times New Roman" w:cs="Times New Roman" w:eastAsia="Times New Roman" w:hAnsi="Times New Roman"/>
          <w:color w:val="0d0d0d"/>
          <w:rtl w:val="0"/>
        </w:rPr>
        <w:t xml:space="preserve">), with </w:t>
      </w:r>
      <w:r w:rsidDel="00000000" w:rsidR="00000000" w:rsidRPr="00000000">
        <w:rPr>
          <w:rFonts w:ascii="Times New Roman" w:cs="Times New Roman" w:eastAsia="Times New Roman" w:hAnsi="Times New Roman"/>
          <w:b w:val="1"/>
          <w:bCs w:val="1"/>
          <w:color w:val="0d0d0d"/>
          <w:rtl w:val="0"/>
        </w:rPr>
        <w:t xml:space="preserve">no statistical heterogeneity (I² = 0%)</w:t>
      </w:r>
    </w:p>
    <w:p w:rsidR="00000000" w:rsidDel="00000000" w:rsidP="00000000" w:rsidRDefault="00000000" w:rsidRPr="00000000" w14:paraId="000000BF">
      <w:pPr>
        <w:numPr>
          <w:ilvl w:val="0"/>
          <w:numId w:val="5"/>
        </w:numPr>
        <w:spacing w:line="480" w:lineRule="auto"/>
        <w:ind w:left="720" w:hanging="360"/>
        <w:rPr>
          <w:rFonts w:ascii="Times New Roman" w:cs="Times New Roman" w:eastAsia="Times New Roman" w:hAnsi="Times New Roman"/>
          <w:color w:val="0d0d0d"/>
          <w:u w:val="none"/>
        </w:rPr>
      </w:pP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b w:val="1"/>
          <w:bCs w:val="1"/>
          <w:color w:val="0d0d0d"/>
          <w:sz w:val="28"/>
          <w:szCs w:val="28"/>
          <w:rtl w:val="0"/>
        </w:rPr>
        <w:t xml:space="preserve">Paraesthesia</w:t>
      </w:r>
    </w:p>
    <w:p w:rsidR="00000000" w:rsidDel="00000000" w:rsidP="00000000" w:rsidRDefault="00000000" w:rsidRPr="00000000" w14:paraId="000000C0">
      <w:pPr>
        <w:spacing w:line="480" w:lineRule="auto"/>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color w:val="0d0d0d"/>
          <w:rtl w:val="0"/>
        </w:rPr>
        <w:t xml:space="preserve">Two studies reported paraesthesia as an adverse event. There was no statistically significant difference between the treatment groups (</w:t>
      </w:r>
      <w:r w:rsidDel="00000000" w:rsidR="00000000" w:rsidRPr="00000000">
        <w:rPr>
          <w:rFonts w:ascii="Times New Roman" w:cs="Times New Roman" w:eastAsia="Times New Roman" w:hAnsi="Times New Roman"/>
          <w:b w:val="1"/>
          <w:bCs w:val="1"/>
          <w:color w:val="0d0d0d"/>
          <w:rtl w:val="0"/>
        </w:rPr>
        <w:t xml:space="preserve">RR = 0.40, 95% CI 0.07–2.25; P = 0.30</w:t>
      </w:r>
      <w:r w:rsidDel="00000000" w:rsidR="00000000" w:rsidRPr="00000000">
        <w:rPr>
          <w:rFonts w:ascii="Times New Roman" w:cs="Times New Roman" w:eastAsia="Times New Roman" w:hAnsi="Times New Roman"/>
          <w:color w:val="0d0d0d"/>
          <w:rtl w:val="0"/>
        </w:rPr>
        <w:t xml:space="preserve">), with </w:t>
      </w:r>
      <w:r w:rsidDel="00000000" w:rsidR="00000000" w:rsidRPr="00000000">
        <w:rPr>
          <w:rFonts w:ascii="Times New Roman" w:cs="Times New Roman" w:eastAsia="Times New Roman" w:hAnsi="Times New Roman"/>
          <w:b w:val="1"/>
          <w:bCs w:val="1"/>
          <w:color w:val="0d0d0d"/>
          <w:rtl w:val="0"/>
        </w:rPr>
        <w:t xml:space="preserve">no heterogeneity (I² = 0%)</w:t>
      </w:r>
    </w:p>
    <w:p w:rsidR="00000000" w:rsidDel="00000000" w:rsidP="00000000" w:rsidRDefault="00000000" w:rsidRPr="00000000" w14:paraId="000000C1">
      <w:pPr>
        <w:numPr>
          <w:ilvl w:val="0"/>
          <w:numId w:val="13"/>
        </w:numPr>
        <w:spacing w:line="480" w:lineRule="auto"/>
        <w:ind w:left="720" w:hanging="360"/>
        <w:rPr>
          <w:rFonts w:ascii="Times New Roman" w:cs="Times New Roman" w:eastAsia="Times New Roman" w:hAnsi="Times New Roman"/>
          <w:b w:val="1"/>
          <w:bCs w:val="1"/>
          <w:color w:val="0d0d0d"/>
          <w:sz w:val="28"/>
          <w:szCs w:val="28"/>
          <w:u w:val="none"/>
        </w:rPr>
      </w:pPr>
      <w:r w:rsidDel="00000000" w:rsidR="00000000" w:rsidRPr="00000000">
        <w:rPr>
          <w:rFonts w:ascii="Times New Roman" w:cs="Times New Roman" w:eastAsia="Times New Roman" w:hAnsi="Times New Roman"/>
          <w:b w:val="1"/>
          <w:bCs w:val="1"/>
          <w:color w:val="0d0d0d"/>
          <w:sz w:val="28"/>
          <w:szCs w:val="28"/>
          <w:rtl w:val="0"/>
        </w:rPr>
        <w:t xml:space="preserve">Back Pain</w:t>
      </w:r>
    </w:p>
    <w:p w:rsidR="00000000" w:rsidDel="00000000" w:rsidP="00000000" w:rsidRDefault="00000000" w:rsidRPr="00000000" w14:paraId="000000C2">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Three trials evaluated back pain. The pooled analysis showed a comparable incidence of back pain between lacosamide and placebo (</w:t>
      </w:r>
      <w:r w:rsidDel="00000000" w:rsidR="00000000" w:rsidRPr="00000000">
        <w:rPr>
          <w:rFonts w:ascii="Times New Roman" w:cs="Times New Roman" w:eastAsia="Times New Roman" w:hAnsi="Times New Roman"/>
          <w:b w:val="1"/>
          <w:bCs w:val="1"/>
          <w:color w:val="0d0d0d"/>
          <w:rtl w:val="0"/>
        </w:rPr>
        <w:t xml:space="preserve">RR = 1.29, 95% CI 0.36–4.59; P = 0.69</w:t>
      </w:r>
      <w:r w:rsidDel="00000000" w:rsidR="00000000" w:rsidRPr="00000000">
        <w:rPr>
          <w:rFonts w:ascii="Times New Roman" w:cs="Times New Roman" w:eastAsia="Times New Roman" w:hAnsi="Times New Roman"/>
          <w:color w:val="0d0d0d"/>
          <w:rtl w:val="0"/>
        </w:rPr>
        <w:t xml:space="preserve">), with </w:t>
      </w:r>
      <w:r w:rsidDel="00000000" w:rsidR="00000000" w:rsidRPr="00000000">
        <w:rPr>
          <w:rFonts w:ascii="Times New Roman" w:cs="Times New Roman" w:eastAsia="Times New Roman" w:hAnsi="Times New Roman"/>
          <w:b w:val="1"/>
          <w:bCs w:val="1"/>
          <w:color w:val="0d0d0d"/>
          <w:rtl w:val="0"/>
        </w:rPr>
        <w:t xml:space="preserve">low heterogeneity (I² = 23%)</w:t>
      </w:r>
      <w:r w:rsidDel="00000000" w:rsidR="00000000" w:rsidRPr="00000000">
        <w:rPr>
          <w:rFonts w:ascii="Times New Roman" w:cs="Times New Roman" w:eastAsia="Times New Roman" w:hAnsi="Times New Roman"/>
          <w:color w:val="0d0d0d"/>
          <w:rtl w:val="0"/>
        </w:rPr>
        <w:t xml:space="preserve"> reported across the study findings.</w:t>
      </w:r>
    </w:p>
    <w:p w:rsidR="00000000" w:rsidDel="00000000" w:rsidP="00000000" w:rsidRDefault="00000000" w:rsidRPr="00000000" w14:paraId="000000C3">
      <w:pPr>
        <w:numPr>
          <w:ilvl w:val="0"/>
          <w:numId w:val="14"/>
        </w:numPr>
        <w:spacing w:line="480" w:lineRule="auto"/>
        <w:ind w:left="720" w:hanging="360"/>
        <w:rPr>
          <w:rFonts w:ascii="Times New Roman" w:cs="Times New Roman" w:eastAsia="Times New Roman" w:hAnsi="Times New Roman"/>
          <w:b w:val="1"/>
          <w:bCs w:val="1"/>
          <w:color w:val="0d0d0d"/>
          <w:sz w:val="28"/>
          <w:szCs w:val="28"/>
          <w:u w:val="none"/>
        </w:rPr>
      </w:pPr>
      <w:r w:rsidDel="00000000" w:rsidR="00000000" w:rsidRPr="00000000">
        <w:rPr>
          <w:rFonts w:ascii="Times New Roman" w:cs="Times New Roman" w:eastAsia="Times New Roman" w:hAnsi="Times New Roman"/>
          <w:b w:val="1"/>
          <w:bCs w:val="1"/>
          <w:color w:val="0d0d0d"/>
          <w:sz w:val="28"/>
          <w:szCs w:val="28"/>
          <w:rtl w:val="0"/>
        </w:rPr>
        <w:t xml:space="preserve">Dizziness</w:t>
      </w:r>
    </w:p>
    <w:p w:rsidR="00000000" w:rsidDel="00000000" w:rsidP="00000000" w:rsidRDefault="00000000" w:rsidRPr="00000000" w14:paraId="000000C4">
      <w:pPr>
        <w:spacing w:line="480" w:lineRule="auto"/>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color w:val="0d0d0d"/>
          <w:rtl w:val="0"/>
        </w:rPr>
        <w:t xml:space="preserve">Four studies reported data on the incidence of dizziness as an adverse event. Patients treated with lacosamide experienced a significantly higher risk of dizziness compared with those receiving placebo (</w:t>
      </w:r>
      <w:r w:rsidDel="00000000" w:rsidR="00000000" w:rsidRPr="00000000">
        <w:rPr>
          <w:rFonts w:ascii="Times New Roman" w:cs="Times New Roman" w:eastAsia="Times New Roman" w:hAnsi="Times New Roman"/>
          <w:b w:val="1"/>
          <w:bCs w:val="1"/>
          <w:color w:val="0d0d0d"/>
          <w:rtl w:val="0"/>
        </w:rPr>
        <w:t xml:space="preserve">RR = 2.64, 95% CI 1.28–5.42; P = 0.008</w:t>
      </w:r>
      <w:r w:rsidDel="00000000" w:rsidR="00000000" w:rsidRPr="00000000">
        <w:rPr>
          <w:rFonts w:ascii="Times New Roman" w:cs="Times New Roman" w:eastAsia="Times New Roman" w:hAnsi="Times New Roman"/>
          <w:color w:val="0d0d0d"/>
          <w:rtl w:val="0"/>
        </w:rPr>
        <w:t xml:space="preserve">), with </w:t>
      </w:r>
      <w:r w:rsidDel="00000000" w:rsidR="00000000" w:rsidRPr="00000000">
        <w:rPr>
          <w:rFonts w:ascii="Times New Roman" w:cs="Times New Roman" w:eastAsia="Times New Roman" w:hAnsi="Times New Roman"/>
          <w:b w:val="1"/>
          <w:bCs w:val="1"/>
          <w:color w:val="0d0d0d"/>
          <w:rtl w:val="0"/>
        </w:rPr>
        <w:t xml:space="preserve">low heterogeneity (I² = 10%).</w:t>
      </w:r>
    </w:p>
    <w:p w:rsidR="00000000" w:rsidDel="00000000" w:rsidP="00000000" w:rsidRDefault="00000000" w:rsidRPr="00000000" w14:paraId="000000C5">
      <w:pPr>
        <w:numPr>
          <w:ilvl w:val="0"/>
          <w:numId w:val="12"/>
        </w:numPr>
        <w:spacing w:line="480" w:lineRule="auto"/>
        <w:ind w:left="720" w:hanging="360"/>
        <w:rPr>
          <w:rFonts w:ascii="Times New Roman" w:cs="Times New Roman" w:eastAsia="Times New Roman" w:hAnsi="Times New Roman"/>
          <w:color w:val="0d0d0d"/>
          <w:u w:val="none"/>
        </w:rPr>
      </w:pP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b w:val="1"/>
          <w:bCs w:val="1"/>
          <w:color w:val="0d0d0d"/>
          <w:sz w:val="28"/>
          <w:szCs w:val="28"/>
          <w:rtl w:val="0"/>
        </w:rPr>
        <w:t xml:space="preserve">Tremor</w:t>
      </w:r>
    </w:p>
    <w:p w:rsidR="00000000" w:rsidDel="00000000" w:rsidP="00000000" w:rsidRDefault="00000000" w:rsidRPr="00000000" w14:paraId="000000C6">
      <w:pPr>
        <w:spacing w:line="480" w:lineRule="auto"/>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color w:val="0d0d0d"/>
          <w:rtl w:val="0"/>
        </w:rPr>
        <w:t xml:space="preserve">Three trials reported tremor as an adverse event. Although the pooled estimate favoured lacosamide, the difference did not reach statistical significance (</w:t>
      </w:r>
      <w:r w:rsidDel="00000000" w:rsidR="00000000" w:rsidRPr="00000000">
        <w:rPr>
          <w:rFonts w:ascii="Times New Roman" w:cs="Times New Roman" w:eastAsia="Times New Roman" w:hAnsi="Times New Roman"/>
          <w:b w:val="1"/>
          <w:bCs w:val="1"/>
          <w:color w:val="0d0d0d"/>
          <w:rtl w:val="0"/>
        </w:rPr>
        <w:t xml:space="preserve">RR = 2.93, 95% CI 0.77–11.09; P = 0.11</w:t>
      </w:r>
      <w:r w:rsidDel="00000000" w:rsidR="00000000" w:rsidRPr="00000000">
        <w:rPr>
          <w:rFonts w:ascii="Times New Roman" w:cs="Times New Roman" w:eastAsia="Times New Roman" w:hAnsi="Times New Roman"/>
          <w:color w:val="0d0d0d"/>
          <w:rtl w:val="0"/>
        </w:rPr>
        <w:t xml:space="preserve">), with </w:t>
      </w:r>
      <w:r w:rsidDel="00000000" w:rsidR="00000000" w:rsidRPr="00000000">
        <w:rPr>
          <w:rFonts w:ascii="Times New Roman" w:cs="Times New Roman" w:eastAsia="Times New Roman" w:hAnsi="Times New Roman"/>
          <w:b w:val="1"/>
          <w:bCs w:val="1"/>
          <w:color w:val="0d0d0d"/>
          <w:rtl w:val="0"/>
        </w:rPr>
        <w:t xml:space="preserve">minimal heterogeneity (I² = 1%).\</w:t>
      </w:r>
    </w:p>
    <w:p w:rsidR="00000000" w:rsidDel="00000000" w:rsidP="00000000" w:rsidRDefault="00000000" w:rsidRPr="00000000" w14:paraId="000000C7">
      <w:pPr>
        <w:numPr>
          <w:ilvl w:val="0"/>
          <w:numId w:val="1"/>
        </w:numPr>
        <w:spacing w:line="480" w:lineRule="auto"/>
        <w:ind w:left="720" w:hanging="360"/>
        <w:rPr>
          <w:rFonts w:ascii="Times New Roman" w:cs="Times New Roman" w:eastAsia="Times New Roman" w:hAnsi="Times New Roman"/>
          <w:b w:val="1"/>
          <w:bCs w:val="1"/>
          <w:color w:val="0d0d0d"/>
          <w:sz w:val="28"/>
          <w:szCs w:val="28"/>
          <w:u w:val="none"/>
        </w:rPr>
      </w:pPr>
      <w:r w:rsidDel="00000000" w:rsidR="00000000" w:rsidRPr="00000000">
        <w:rPr>
          <w:rFonts w:ascii="Times New Roman" w:cs="Times New Roman" w:eastAsia="Times New Roman" w:hAnsi="Times New Roman"/>
          <w:b w:val="1"/>
          <w:bCs w:val="1"/>
          <w:color w:val="0d0d0d"/>
          <w:sz w:val="28"/>
          <w:szCs w:val="28"/>
          <w:rtl w:val="0"/>
        </w:rPr>
        <w:t xml:space="preserve">Somnolence</w:t>
      </w:r>
    </w:p>
    <w:p w:rsidR="00000000" w:rsidDel="00000000" w:rsidP="00000000" w:rsidRDefault="00000000" w:rsidRPr="00000000" w14:paraId="000000C8">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Three studies evaluated data on the risk of somnolence among the study population. The point estimates favour placebo but the difference was not statistically significant (</w:t>
      </w:r>
      <w:r w:rsidDel="00000000" w:rsidR="00000000" w:rsidRPr="00000000">
        <w:rPr>
          <w:rFonts w:ascii="Times New Roman" w:cs="Times New Roman" w:eastAsia="Times New Roman" w:hAnsi="Times New Roman"/>
          <w:b w:val="1"/>
          <w:bCs w:val="1"/>
          <w:color w:val="0d0d0d"/>
          <w:rtl w:val="0"/>
        </w:rPr>
        <w:t xml:space="preserve">RR = 1.94, 95% CI 0.80–4.68; P = 0.14</w:t>
      </w:r>
      <w:r w:rsidDel="00000000" w:rsidR="00000000" w:rsidRPr="00000000">
        <w:rPr>
          <w:rFonts w:ascii="Times New Roman" w:cs="Times New Roman" w:eastAsia="Times New Roman" w:hAnsi="Times New Roman"/>
          <w:color w:val="0d0d0d"/>
          <w:rtl w:val="0"/>
        </w:rPr>
        <w:t xml:space="preserve">), with </w:t>
      </w:r>
      <w:r w:rsidDel="00000000" w:rsidR="00000000" w:rsidRPr="00000000">
        <w:rPr>
          <w:rFonts w:ascii="Times New Roman" w:cs="Times New Roman" w:eastAsia="Times New Roman" w:hAnsi="Times New Roman"/>
          <w:b w:val="1"/>
          <w:bCs w:val="1"/>
          <w:color w:val="0d0d0d"/>
          <w:rtl w:val="0"/>
        </w:rPr>
        <w:t xml:space="preserve">low heterogeneity (I² = 17%)</w:t>
      </w:r>
      <w:r w:rsidDel="00000000" w:rsidR="00000000" w:rsidRPr="00000000">
        <w:rPr>
          <w:rFonts w:ascii="Times New Roman" w:cs="Times New Roman" w:eastAsia="Times New Roman" w:hAnsi="Times New Roman"/>
          <w:color w:val="0d0d0d"/>
          <w:rtl w:val="0"/>
        </w:rPr>
        <w:t xml:space="preserve"> found across the study findings.</w:t>
      </w:r>
    </w:p>
    <w:p w:rsidR="00000000" w:rsidDel="00000000" w:rsidP="00000000" w:rsidRDefault="00000000" w:rsidRPr="00000000" w14:paraId="000000C9">
      <w:pPr>
        <w:numPr>
          <w:ilvl w:val="0"/>
          <w:numId w:val="9"/>
        </w:numPr>
        <w:spacing w:line="480" w:lineRule="auto"/>
        <w:ind w:left="720" w:hanging="360"/>
        <w:rPr>
          <w:rFonts w:ascii="Times New Roman" w:cs="Times New Roman" w:eastAsia="Times New Roman" w:hAnsi="Times New Roman"/>
          <w:color w:val="0d0d0d"/>
          <w:u w:val="none"/>
        </w:rPr>
      </w:pP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b w:val="1"/>
          <w:bCs w:val="1"/>
          <w:color w:val="0d0d0d"/>
          <w:sz w:val="28"/>
          <w:szCs w:val="28"/>
          <w:rtl w:val="0"/>
        </w:rPr>
        <w:t xml:space="preserve">Fatigue</w:t>
      </w:r>
    </w:p>
    <w:p w:rsidR="00000000" w:rsidDel="00000000" w:rsidP="00000000" w:rsidRDefault="00000000" w:rsidRPr="00000000" w14:paraId="000000CA">
      <w:pPr>
        <w:spacing w:line="480" w:lineRule="auto"/>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b w:val="1"/>
          <w:bCs w:val="1"/>
          <w:color w:val="0d0d0d"/>
          <w:rtl w:val="0"/>
        </w:rPr>
        <w:t xml:space="preserve">Only</w:t>
      </w:r>
      <w:r w:rsidDel="00000000" w:rsidR="00000000" w:rsidRPr="00000000">
        <w:rPr>
          <w:rFonts w:ascii="Times New Roman" w:cs="Times New Roman" w:eastAsia="Times New Roman" w:hAnsi="Times New Roman"/>
          <w:color w:val="0d0d0d"/>
          <w:rtl w:val="0"/>
        </w:rPr>
        <w:t xml:space="preserve"> two trials assessed fatigue. There was no statistically significant difference between the treatment groups </w:t>
      </w:r>
      <w:r w:rsidDel="00000000" w:rsidR="00000000" w:rsidRPr="00000000">
        <w:rPr>
          <w:rFonts w:ascii="Times New Roman" w:cs="Times New Roman" w:eastAsia="Times New Roman" w:hAnsi="Times New Roman"/>
          <w:b w:val="1"/>
          <w:bCs w:val="1"/>
          <w:color w:val="0d0d0d"/>
          <w:rtl w:val="0"/>
        </w:rPr>
        <w:t xml:space="preserve">(RR = 1.26, 95% CI 0.48–3.34), with zero statistical heterogeneity (I² = 0%) </w:t>
      </w:r>
    </w:p>
    <w:tbl>
      <w:tblPr>
        <w:tblStyle w:val="Table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70"/>
        <w:gridCol w:w="1125"/>
        <w:gridCol w:w="1335"/>
        <w:gridCol w:w="900"/>
        <w:gridCol w:w="675"/>
        <w:gridCol w:w="915"/>
        <w:gridCol w:w="1875"/>
        <w:tblGridChange w:id="0">
          <w:tblGrid>
            <w:gridCol w:w="2070"/>
            <w:gridCol w:w="1125"/>
            <w:gridCol w:w="1335"/>
            <w:gridCol w:w="900"/>
            <w:gridCol w:w="675"/>
            <w:gridCol w:w="915"/>
            <w:gridCol w:w="1875"/>
          </w:tblGrid>
        </w:tblGridChange>
      </w:tblGrid>
      <w:tr>
        <w:trPr>
          <w:cantSplit w:val="0"/>
          <w:trHeight w:val="1455" w:hRule="atLeast"/>
          <w:tblHeader w:val="0"/>
        </w:trPr>
        <w:tc>
          <w:tcPr>
            <w:tcBorders>
              <w:top w:color="bfbfbf" w:space="0" w:sz="5" w:val="single"/>
              <w:left w:color="bfbfbf" w:space="0" w:sz="5" w:val="single"/>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CB">
            <w:pPr>
              <w:spacing w:line="480" w:lineRule="auto"/>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b w:val="1"/>
                <w:bCs w:val="1"/>
                <w:color w:val="0d0d0d"/>
                <w:rtl w:val="0"/>
              </w:rPr>
              <w:t xml:space="preserve">Outcome Domain / Specific Metric</w:t>
            </w:r>
          </w:p>
        </w:tc>
        <w:tc>
          <w:tcPr>
            <w:tcBorders>
              <w:top w:color="bfbfbf" w:space="0" w:sz="5" w:val="single"/>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CC">
            <w:pPr>
              <w:spacing w:line="480" w:lineRule="auto"/>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b w:val="1"/>
                <w:bCs w:val="1"/>
                <w:color w:val="0d0d0d"/>
                <w:rtl w:val="0"/>
              </w:rPr>
              <w:t xml:space="preserve">No. of Studies (N)</w:t>
            </w:r>
          </w:p>
        </w:tc>
        <w:tc>
          <w:tcPr>
            <w:tcBorders>
              <w:top w:color="bfbfbf" w:space="0" w:sz="5" w:val="single"/>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CD">
            <w:pPr>
              <w:spacing w:line="480" w:lineRule="auto"/>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b w:val="1"/>
                <w:bCs w:val="1"/>
                <w:color w:val="0d0d0d"/>
                <w:rtl w:val="0"/>
              </w:rPr>
              <w:t xml:space="preserve">Pooled Effect Estimate</w:t>
            </w:r>
          </w:p>
        </w:tc>
        <w:tc>
          <w:tcPr>
            <w:tcBorders>
              <w:top w:color="bfbfbf" w:space="0" w:sz="5" w:val="single"/>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CE">
            <w:pPr>
              <w:spacing w:line="480" w:lineRule="auto"/>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b w:val="1"/>
                <w:bCs w:val="1"/>
                <w:color w:val="0d0d0d"/>
                <w:rtl w:val="0"/>
              </w:rPr>
              <w:t xml:space="preserve">95% CI</w:t>
            </w:r>
          </w:p>
        </w:tc>
        <w:tc>
          <w:tcPr>
            <w:tcBorders>
              <w:top w:color="bfbfbf" w:space="0" w:sz="5" w:val="single"/>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CF">
            <w:pPr>
              <w:spacing w:line="480" w:lineRule="auto"/>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b w:val="1"/>
                <w:bCs w:val="1"/>
                <w:color w:val="0d0d0d"/>
                <w:rtl w:val="0"/>
              </w:rPr>
              <w:t xml:space="preserve">I²</w:t>
            </w:r>
          </w:p>
        </w:tc>
        <w:tc>
          <w:tcPr>
            <w:tcBorders>
              <w:top w:color="bfbfbf" w:space="0" w:sz="5" w:val="single"/>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D0">
            <w:pPr>
              <w:spacing w:line="480" w:lineRule="auto"/>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b w:val="1"/>
                <w:bCs w:val="1"/>
                <w:color w:val="0d0d0d"/>
                <w:rtl w:val="0"/>
              </w:rPr>
              <w:t xml:space="preserve">p-value</w:t>
            </w:r>
          </w:p>
        </w:tc>
        <w:tc>
          <w:tcPr>
            <w:tcBorders>
              <w:top w:color="bfbfbf" w:space="0" w:sz="5" w:val="single"/>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D1">
            <w:pPr>
              <w:spacing w:line="480" w:lineRule="auto"/>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b w:val="1"/>
                <w:bCs w:val="1"/>
                <w:color w:val="0d0d0d"/>
                <w:rtl w:val="0"/>
              </w:rPr>
              <w:t xml:space="preserve">Statistical Significance</w:t>
            </w:r>
          </w:p>
        </w:tc>
      </w:tr>
      <w:tr>
        <w:trPr>
          <w:cantSplit w:val="0"/>
          <w:trHeight w:val="975" w:hRule="atLeast"/>
          <w:tblHeader w:val="0"/>
        </w:trPr>
        <w:tc>
          <w:tcPr>
            <w:tcBorders>
              <w:top w:color="000000" w:space="0" w:sz="0" w:val="nil"/>
              <w:left w:color="bfbfbf" w:space="0" w:sz="5" w:val="single"/>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D2">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I. Primary Efficacy Outcomes</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D3">
            <w:pPr>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D4">
            <w:pPr>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D5">
            <w:pPr>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D6">
            <w:pPr>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D7">
            <w:pPr>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D8">
            <w:pPr>
              <w:rPr/>
            </w:pPr>
            <w:r w:rsidDel="00000000" w:rsidR="00000000" w:rsidRPr="00000000">
              <w:rPr>
                <w:rtl w:val="0"/>
              </w:rPr>
            </w:r>
          </w:p>
        </w:tc>
      </w:tr>
      <w:tr>
        <w:trPr>
          <w:cantSplit w:val="0"/>
          <w:trHeight w:val="1455" w:hRule="atLeast"/>
          <w:tblHeader w:val="0"/>
        </w:trPr>
        <w:tc>
          <w:tcPr>
            <w:tcBorders>
              <w:top w:color="000000" w:space="0" w:sz="0" w:val="nil"/>
              <w:left w:color="bfbfbf" w:space="0" w:sz="5" w:val="single"/>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D9">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Change in Pain Intensity (NPRS/VAS)</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DA">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4</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DB">
            <w:pPr>
              <w:spacing w:line="480" w:lineRule="auto"/>
              <w:rPr>
                <w:rFonts w:ascii="Times New Roman" w:cs="Times New Roman" w:eastAsia="Times New Roman" w:hAnsi="Times New Roman"/>
                <w:color w:val="0d0d0d"/>
              </w:rPr>
            </w:pPr>
            <w:r w:rsidDel="00000000" w:rsidR="00000000" w:rsidRPr="00000000">
              <w:rPr>
                <w:rFonts w:ascii="Gungsuh" w:cs="Gungsuh" w:eastAsia="Gungsuh" w:hAnsi="Gungsuh"/>
                <w:color w:val="0d0d0d"/>
                <w:rtl w:val="0"/>
              </w:rPr>
              <w:t xml:space="preserve">MD = −0.69</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DC">
            <w:pPr>
              <w:spacing w:line="480" w:lineRule="auto"/>
              <w:rPr>
                <w:rFonts w:ascii="Times New Roman" w:cs="Times New Roman" w:eastAsia="Times New Roman" w:hAnsi="Times New Roman"/>
                <w:color w:val="0d0d0d"/>
              </w:rPr>
            </w:pPr>
            <w:r w:rsidDel="00000000" w:rsidR="00000000" w:rsidRPr="00000000">
              <w:rPr>
                <w:rFonts w:ascii="Gungsuh" w:cs="Gungsuh" w:eastAsia="Gungsuh" w:hAnsi="Gungsuh"/>
                <w:color w:val="0d0d0d"/>
                <w:rtl w:val="0"/>
              </w:rPr>
              <w:t xml:space="preserve">−1.08 to −0.30</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DD">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DE">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&lt;0.001</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DF">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Highly Significant</w:t>
            </w:r>
          </w:p>
        </w:tc>
      </w:tr>
      <w:tr>
        <w:trPr>
          <w:cantSplit w:val="0"/>
          <w:trHeight w:val="975" w:hRule="atLeast"/>
          <w:tblHeader w:val="0"/>
        </w:trPr>
        <w:tc>
          <w:tcPr>
            <w:tcBorders>
              <w:top w:color="000000" w:space="0" w:sz="0" w:val="nil"/>
              <w:left w:color="bfbfbf" w:space="0" w:sz="5" w:val="single"/>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E0">
            <w:pPr>
              <w:spacing w:line="480" w:lineRule="auto"/>
              <w:rPr>
                <w:rFonts w:ascii="Times New Roman" w:cs="Times New Roman" w:eastAsia="Times New Roman" w:hAnsi="Times New Roman"/>
                <w:color w:val="0d0d0d"/>
              </w:rPr>
            </w:pPr>
            <w:r w:rsidDel="00000000" w:rsidR="00000000" w:rsidRPr="00000000">
              <w:rPr>
                <w:rFonts w:ascii="Gungsuh" w:cs="Gungsuh" w:eastAsia="Gungsuh" w:hAnsi="Gungsuh"/>
                <w:color w:val="0d0d0d"/>
                <w:rtl w:val="0"/>
              </w:rPr>
              <w:t xml:space="preserve">≥30% Pain Reduction</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E1">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2</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E2">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RR = 1.79</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E3">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0.65 to 4.91</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E4">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58%</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E5">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0.26</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E6">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Not Significant</w:t>
            </w:r>
          </w:p>
        </w:tc>
      </w:tr>
      <w:tr>
        <w:trPr>
          <w:cantSplit w:val="0"/>
          <w:trHeight w:val="975" w:hRule="atLeast"/>
          <w:tblHeader w:val="0"/>
        </w:trPr>
        <w:tc>
          <w:tcPr>
            <w:tcBorders>
              <w:top w:color="000000" w:space="0" w:sz="0" w:val="nil"/>
              <w:left w:color="bfbfbf" w:space="0" w:sz="5" w:val="single"/>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E7">
            <w:pPr>
              <w:spacing w:line="480" w:lineRule="auto"/>
              <w:rPr>
                <w:rFonts w:ascii="Times New Roman" w:cs="Times New Roman" w:eastAsia="Times New Roman" w:hAnsi="Times New Roman"/>
                <w:color w:val="0d0d0d"/>
              </w:rPr>
            </w:pPr>
            <w:r w:rsidDel="00000000" w:rsidR="00000000" w:rsidRPr="00000000">
              <w:rPr>
                <w:rFonts w:ascii="Gungsuh" w:cs="Gungsuh" w:eastAsia="Gungsuh" w:hAnsi="Gungsuh"/>
                <w:color w:val="0d0d0d"/>
                <w:rtl w:val="0"/>
              </w:rPr>
              <w:t xml:space="preserve">≥50% Pain Reduction</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E8">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2</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E9">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RR = 2.01</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EA">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0.84 to 4.79</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EB">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25%</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EC">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0.11</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ED">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Not Significant</w:t>
            </w:r>
          </w:p>
        </w:tc>
      </w:tr>
      <w:tr>
        <w:trPr>
          <w:cantSplit w:val="0"/>
          <w:trHeight w:val="975" w:hRule="atLeast"/>
          <w:tblHeader w:val="0"/>
        </w:trPr>
        <w:tc>
          <w:tcPr>
            <w:tcBorders>
              <w:top w:color="000000" w:space="0" w:sz="0" w:val="nil"/>
              <w:left w:color="bfbfbf" w:space="0" w:sz="5" w:val="single"/>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EE">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II. Secondary Efficacy Outcomes</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EF">
            <w:pPr>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F0">
            <w:pPr>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F1">
            <w:pPr>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F2">
            <w:pPr>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F3">
            <w:pPr>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F4">
            <w:pPr>
              <w:rPr/>
            </w:pPr>
            <w:r w:rsidDel="00000000" w:rsidR="00000000" w:rsidRPr="00000000">
              <w:rPr>
                <w:rtl w:val="0"/>
              </w:rPr>
            </w:r>
          </w:p>
        </w:tc>
      </w:tr>
      <w:tr>
        <w:trPr>
          <w:cantSplit w:val="0"/>
          <w:trHeight w:val="1455" w:hRule="atLeast"/>
          <w:tblHeader w:val="0"/>
        </w:trPr>
        <w:tc>
          <w:tcPr>
            <w:tcBorders>
              <w:top w:color="000000" w:space="0" w:sz="0" w:val="nil"/>
              <w:left w:color="bfbfbf" w:space="0" w:sz="5" w:val="single"/>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F5">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PGIC: Improved</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F6">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2</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F7">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RR = 1.19</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F8">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0.99 to 1.44</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F9">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FA">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0.06</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0FB">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Not Significant (Borderline Trend)</w:t>
            </w:r>
          </w:p>
        </w:tc>
      </w:tr>
      <w:tr>
        <w:trPr>
          <w:cantSplit w:val="0"/>
          <w:trHeight w:val="975" w:hRule="atLeast"/>
          <w:tblHeader w:val="0"/>
        </w:trPr>
        <w:tc>
          <w:tcPr>
            <w:tcBorders>
              <w:top w:color="000000" w:space="0" w:sz="0" w:val="nil"/>
              <w:left w:color="bfbfbf" w:space="0" w:sz="5" w:val="single"/>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FC">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PGIC: Worse*</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FD">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1</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FE">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0FF">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00">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01">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02">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No meaningful difference</w:t>
            </w:r>
          </w:p>
        </w:tc>
      </w:tr>
      <w:tr>
        <w:trPr>
          <w:cantSplit w:val="0"/>
          <w:trHeight w:val="1455" w:hRule="atLeast"/>
          <w:tblHeader w:val="0"/>
        </w:trPr>
        <w:tc>
          <w:tcPr>
            <w:tcBorders>
              <w:top w:color="000000" w:space="0" w:sz="0" w:val="nil"/>
              <w:left w:color="bfbfbf" w:space="0" w:sz="5" w:val="single"/>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03">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Daily Sleep Interference Scale (DSIS)*</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04">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1</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05">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06">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07">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08">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09">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Favors Lacosamide (unquantified)</w:t>
            </w:r>
          </w:p>
        </w:tc>
      </w:tr>
      <w:tr>
        <w:trPr>
          <w:cantSplit w:val="0"/>
          <w:trHeight w:val="975" w:hRule="atLeast"/>
          <w:tblHeader w:val="0"/>
        </w:trPr>
        <w:tc>
          <w:tcPr>
            <w:tcBorders>
              <w:top w:color="000000" w:space="0" w:sz="0" w:val="nil"/>
              <w:left w:color="bfbfbf" w:space="0" w:sz="5" w:val="single"/>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0A">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III. Global Safety Outcomes</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0B">
            <w:pPr>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0C">
            <w:pPr>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0D">
            <w:pPr>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0E">
            <w:pPr>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0F">
            <w:pPr>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10">
            <w:pPr>
              <w:rPr/>
            </w:pPr>
            <w:r w:rsidDel="00000000" w:rsidR="00000000" w:rsidRPr="00000000">
              <w:rPr>
                <w:rtl w:val="0"/>
              </w:rPr>
            </w:r>
          </w:p>
        </w:tc>
      </w:tr>
      <w:tr>
        <w:trPr>
          <w:cantSplit w:val="0"/>
          <w:trHeight w:val="975" w:hRule="atLeast"/>
          <w:tblHeader w:val="0"/>
        </w:trPr>
        <w:tc>
          <w:tcPr>
            <w:tcBorders>
              <w:top w:color="000000" w:space="0" w:sz="0" w:val="nil"/>
              <w:left w:color="bfbfbf" w:space="0" w:sz="5" w:val="single"/>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11">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Any Adverse Events</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12">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3</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13">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RR = 1.05</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14">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0.89 to 1.24</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15">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50%</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16">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0.57</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17">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Not Significant</w:t>
            </w:r>
          </w:p>
        </w:tc>
      </w:tr>
      <w:tr>
        <w:trPr>
          <w:cantSplit w:val="0"/>
          <w:trHeight w:val="975" w:hRule="atLeast"/>
          <w:tblHeader w:val="0"/>
        </w:trPr>
        <w:tc>
          <w:tcPr>
            <w:tcBorders>
              <w:top w:color="000000" w:space="0" w:sz="0" w:val="nil"/>
              <w:left w:color="bfbfbf" w:space="0" w:sz="5" w:val="single"/>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18">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Serious Adverse Events (SAEs)</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19">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2</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1A">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RR = 0.86</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1B">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0.27 to 2.70</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1C">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1D">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0.80</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1E">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Not Significant</w:t>
            </w:r>
          </w:p>
        </w:tc>
      </w:tr>
      <w:tr>
        <w:trPr>
          <w:cantSplit w:val="0"/>
          <w:trHeight w:val="1455" w:hRule="atLeast"/>
          <w:tblHeader w:val="0"/>
        </w:trPr>
        <w:tc>
          <w:tcPr>
            <w:tcBorders>
              <w:top w:color="000000" w:space="0" w:sz="0" w:val="nil"/>
              <w:left w:color="bfbfbf" w:space="0" w:sz="5" w:val="single"/>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1F">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Treatment Discontinuation due to AEs</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20">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4</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21">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RR = 1.72</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22">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1.01 to 2.94</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23">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24">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0.05</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25">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Borderline Significant</w:t>
            </w:r>
          </w:p>
        </w:tc>
      </w:tr>
      <w:tr>
        <w:trPr>
          <w:cantSplit w:val="0"/>
          <w:trHeight w:val="975" w:hRule="atLeast"/>
          <w:tblHeader w:val="0"/>
        </w:trPr>
        <w:tc>
          <w:tcPr>
            <w:tcBorders>
              <w:top w:color="000000" w:space="0" w:sz="0" w:val="nil"/>
              <w:left w:color="bfbfbf" w:space="0" w:sz="5" w:val="single"/>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26">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IV. Specific Adverse Events</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27">
            <w:pPr>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28">
            <w:pPr>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29">
            <w:pPr>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2A">
            <w:pPr>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2B">
            <w:pPr>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2C">
            <w:pPr>
              <w:rPr/>
            </w:pPr>
            <w:r w:rsidDel="00000000" w:rsidR="00000000" w:rsidRPr="00000000">
              <w:rPr>
                <w:rtl w:val="0"/>
              </w:rPr>
            </w:r>
          </w:p>
        </w:tc>
      </w:tr>
      <w:tr>
        <w:trPr>
          <w:cantSplit w:val="0"/>
          <w:trHeight w:val="975" w:hRule="atLeast"/>
          <w:tblHeader w:val="0"/>
        </w:trPr>
        <w:tc>
          <w:tcPr>
            <w:tcBorders>
              <w:top w:color="000000" w:space="0" w:sz="0" w:val="nil"/>
              <w:left w:color="bfbfbf" w:space="0" w:sz="5" w:val="single"/>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2D">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Dizziness</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2E">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4</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2F">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RR = 2.64</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30">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1.28 to 5.42</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31">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10%</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32">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0.008</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33">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Statistically Significant</w:t>
            </w:r>
          </w:p>
        </w:tc>
      </w:tr>
      <w:tr>
        <w:trPr>
          <w:cantSplit w:val="0"/>
          <w:trHeight w:val="975" w:hRule="atLeast"/>
          <w:tblHeader w:val="0"/>
        </w:trPr>
        <w:tc>
          <w:tcPr>
            <w:tcBorders>
              <w:top w:color="000000" w:space="0" w:sz="0" w:val="nil"/>
              <w:left w:color="bfbfbf" w:space="0" w:sz="5" w:val="single"/>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34">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Nausea</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35">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4</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36">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RR = 1.09</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37">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0.53 to 2.26</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38">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39">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0.82</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3A">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Not Significant</w:t>
            </w:r>
          </w:p>
        </w:tc>
      </w:tr>
      <w:tr>
        <w:trPr>
          <w:cantSplit w:val="0"/>
          <w:trHeight w:val="975" w:hRule="atLeast"/>
          <w:tblHeader w:val="0"/>
        </w:trPr>
        <w:tc>
          <w:tcPr>
            <w:tcBorders>
              <w:top w:color="000000" w:space="0" w:sz="0" w:val="nil"/>
              <w:left w:color="bfbfbf" w:space="0" w:sz="5" w:val="single"/>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3B">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Diarrhea</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3C">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2</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3D">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RR = 0.53</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3E">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0.22 to 1.24</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3F">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40">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0.14</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41">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Not Significant</w:t>
            </w:r>
          </w:p>
        </w:tc>
      </w:tr>
      <w:tr>
        <w:trPr>
          <w:cantSplit w:val="0"/>
          <w:trHeight w:val="975" w:hRule="atLeast"/>
          <w:tblHeader w:val="0"/>
        </w:trPr>
        <w:tc>
          <w:tcPr>
            <w:tcBorders>
              <w:top w:color="000000" w:space="0" w:sz="0" w:val="nil"/>
              <w:left w:color="bfbfbf" w:space="0" w:sz="5" w:val="single"/>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42">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Headache</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43">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3</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44">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RR = 0.81</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45">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0.47 to 1.38</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46">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47">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0.43</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48">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Not Significant</w:t>
            </w:r>
          </w:p>
        </w:tc>
      </w:tr>
      <w:tr>
        <w:trPr>
          <w:cantSplit w:val="0"/>
          <w:trHeight w:val="975" w:hRule="atLeast"/>
          <w:tblHeader w:val="0"/>
        </w:trPr>
        <w:tc>
          <w:tcPr>
            <w:tcBorders>
              <w:top w:color="000000" w:space="0" w:sz="0" w:val="nil"/>
              <w:left w:color="bfbfbf" w:space="0" w:sz="5" w:val="single"/>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49">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Somnolence</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4A">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3</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4B">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RR = 1.94</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4C">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0.80 to 4.68</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4D">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17%</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4E">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0.14</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4F">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Not Significant</w:t>
            </w:r>
          </w:p>
        </w:tc>
      </w:tr>
      <w:tr>
        <w:trPr>
          <w:cantSplit w:val="0"/>
          <w:trHeight w:val="975" w:hRule="atLeast"/>
          <w:tblHeader w:val="0"/>
        </w:trPr>
        <w:tc>
          <w:tcPr>
            <w:tcBorders>
              <w:top w:color="000000" w:space="0" w:sz="0" w:val="nil"/>
              <w:left w:color="bfbfbf" w:space="0" w:sz="5" w:val="single"/>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50">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Fatigue</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51">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2</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52">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RR = 1.26</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53">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0.48 to 3.34</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54">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55">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56">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Not Significant</w:t>
            </w:r>
          </w:p>
        </w:tc>
      </w:tr>
      <w:tr>
        <w:trPr>
          <w:cantSplit w:val="0"/>
          <w:trHeight w:val="975" w:hRule="atLeast"/>
          <w:tblHeader w:val="0"/>
        </w:trPr>
        <w:tc>
          <w:tcPr>
            <w:tcBorders>
              <w:top w:color="000000" w:space="0" w:sz="0" w:val="nil"/>
              <w:left w:color="bfbfbf" w:space="0" w:sz="5" w:val="single"/>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57">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Paresthesia</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58">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2</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59">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RR = 0.40</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5A">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0.07 to 2.25</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5B">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5C">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0.30</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5D">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Not Significant</w:t>
            </w:r>
          </w:p>
        </w:tc>
      </w:tr>
      <w:tr>
        <w:trPr>
          <w:cantSplit w:val="0"/>
          <w:trHeight w:val="975" w:hRule="atLeast"/>
          <w:tblHeader w:val="0"/>
        </w:trPr>
        <w:tc>
          <w:tcPr>
            <w:tcBorders>
              <w:top w:color="000000" w:space="0" w:sz="0" w:val="nil"/>
              <w:left w:color="bfbfbf" w:space="0" w:sz="5" w:val="single"/>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5E">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Back Pain</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5F">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3</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60">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RR = 1.29</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61">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0.36 to 4.59</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62">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23%</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63">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0.69</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64">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Not Significant</w:t>
            </w:r>
          </w:p>
        </w:tc>
      </w:tr>
      <w:tr>
        <w:trPr>
          <w:cantSplit w:val="0"/>
          <w:trHeight w:val="975" w:hRule="atLeast"/>
          <w:tblHeader w:val="0"/>
        </w:trPr>
        <w:tc>
          <w:tcPr>
            <w:tcBorders>
              <w:top w:color="000000" w:space="0" w:sz="0" w:val="nil"/>
              <w:left w:color="bfbfbf" w:space="0" w:sz="5" w:val="single"/>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65">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Tremor</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66">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3</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67">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RR = 2.93</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68">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0.77 to 11.09</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69">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1%</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6A">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0.11</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vAlign w:val="top"/>
          </w:tcPr>
          <w:p w:rsidR="00000000" w:rsidDel="00000000" w:rsidP="00000000" w:rsidRDefault="00000000" w:rsidRPr="00000000" w14:paraId="0000016B">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Not Significant</w:t>
            </w:r>
          </w:p>
        </w:tc>
      </w:tr>
      <w:tr>
        <w:trPr>
          <w:cantSplit w:val="0"/>
          <w:trHeight w:val="495" w:hRule="atLeast"/>
          <w:tblHeader w:val="0"/>
        </w:trPr>
        <w:tc>
          <w:tcPr>
            <w:tcBorders>
              <w:top w:color="000000" w:space="0" w:sz="0" w:val="nil"/>
              <w:left w:color="bfbfbf" w:space="0" w:sz="5" w:val="single"/>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6C">
            <w:pPr>
              <w:spacing w:line="480" w:lineRule="auto"/>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b w:val="1"/>
                <w:bCs w:val="1"/>
                <w:color w:val="0d0d0d"/>
                <w:rtl w:val="0"/>
              </w:rPr>
              <w:t xml:space="preserve"> </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6D">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6E">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6F">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70">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71">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w:t>
            </w:r>
          </w:p>
        </w:tc>
        <w:tc>
          <w:tcPr>
            <w:tcBorders>
              <w:top w:color="000000" w:space="0" w:sz="0" w:val="nil"/>
              <w:left w:color="000000" w:space="0" w:sz="0" w:val="nil"/>
              <w:bottom w:color="bfbfbf" w:space="0" w:sz="5" w:val="single"/>
              <w:right w:color="bfbfbf" w:space="0" w:sz="5" w:val="single"/>
            </w:tcBorders>
            <w:shd w:fill="f2f2f2" w:val="clear"/>
            <w:tcMar>
              <w:top w:w="0.0" w:type="dxa"/>
              <w:left w:w="100.0" w:type="dxa"/>
              <w:bottom w:w="0.0" w:type="dxa"/>
              <w:right w:w="100.0" w:type="dxa"/>
            </w:tcMar>
            <w:vAlign w:val="top"/>
          </w:tcPr>
          <w:p w:rsidR="00000000" w:rsidDel="00000000" w:rsidP="00000000" w:rsidRDefault="00000000" w:rsidRPr="00000000" w14:paraId="00000172">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w:t>
            </w:r>
          </w:p>
        </w:tc>
      </w:tr>
    </w:tbl>
    <w:p w:rsidR="00000000" w:rsidDel="00000000" w:rsidP="00000000" w:rsidRDefault="00000000" w:rsidRPr="00000000" w14:paraId="00000173">
      <w:pPr>
        <w:spacing w:line="480" w:lineRule="auto"/>
        <w:rPr>
          <w:rFonts w:ascii="Times New Roman" w:cs="Times New Roman" w:eastAsia="Times New Roman" w:hAnsi="Times New Roman"/>
          <w:color w:val="0d0d0d"/>
        </w:rPr>
      </w:pPr>
      <w:r w:rsidDel="00000000" w:rsidR="00000000" w:rsidRPr="00000000">
        <w:rPr>
          <w:rtl w:val="0"/>
        </w:rPr>
      </w:r>
    </w:p>
    <w:p w:rsidR="00000000" w:rsidDel="00000000" w:rsidP="00000000" w:rsidRDefault="00000000" w:rsidRPr="00000000" w14:paraId="00000174">
      <w:pPr>
        <w:spacing w:line="480" w:lineRule="auto"/>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b w:val="1"/>
          <w:bCs w:val="1"/>
          <w:color w:val="0d0d0d"/>
          <w:rtl w:val="0"/>
        </w:rPr>
        <w:t xml:space="preserve">Table Notes</w:t>
      </w:r>
    </w:p>
    <w:p w:rsidR="00000000" w:rsidDel="00000000" w:rsidP="00000000" w:rsidRDefault="00000000" w:rsidRPr="00000000" w14:paraId="00000175">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Abbreviations: MD = Mean Difference; RR = Relative Risk; CI = Confidence Interval; NPRS = Numeric Pain Rating Scale; VAS = Visual Analogue Scale; PGIC = Patient Global Impression of Change; DSIS = Daily Sleep Interference Scale; AE = Adverse Event; SAE = Serious Adverse Event.</w:t>
      </w:r>
    </w:p>
    <w:p w:rsidR="00000000" w:rsidDel="00000000" w:rsidP="00000000" w:rsidRDefault="00000000" w:rsidRPr="00000000" w14:paraId="00000176">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Single-study outcomes: PGIC (Worse) and DSIS were reported by only one study; therefore, pooled meta-analysis was not performed.</w:t>
      </w:r>
    </w:p>
    <w:p w:rsidR="00000000" w:rsidDel="00000000" w:rsidP="00000000" w:rsidRDefault="00000000" w:rsidRPr="00000000" w14:paraId="00000177">
      <w:pPr>
        <w:spacing w:line="480" w:lineRule="auto"/>
        <w:rPr>
          <w:rFonts w:ascii="Times New Roman" w:cs="Times New Roman" w:eastAsia="Times New Roman" w:hAnsi="Times New Roman"/>
          <w:color w:val="0d0d0d"/>
        </w:rPr>
      </w:pPr>
      <w:r w:rsidDel="00000000" w:rsidR="00000000" w:rsidRPr="00000000">
        <w:rPr>
          <w:rFonts w:ascii="Gungsuh" w:cs="Gungsuh" w:eastAsia="Gungsuh" w:hAnsi="Gungsuh"/>
          <w:color w:val="0d0d0d"/>
          <w:rtl w:val="0"/>
        </w:rPr>
        <w:t xml:space="preserve">Summary Interpretation: Lacosamide demonstrated a significant reduction in pain intensity compared with placebo (MD = −0.69; 95% CI −1.08 to −0.30; </w:t>
      </w:r>
      <w:r w:rsidDel="00000000" w:rsidR="00000000" w:rsidRPr="00000000">
        <w:rPr>
          <w:rFonts w:ascii="Times New Roman" w:cs="Times New Roman" w:eastAsia="Times New Roman" w:hAnsi="Times New Roman"/>
          <w:i w:val="1"/>
          <w:iCs w:val="1"/>
          <w:color w:val="0d0d0d"/>
          <w:rtl w:val="0"/>
        </w:rPr>
        <w:t xml:space="preserve">p</w:t>
      </w:r>
      <w:r w:rsidDel="00000000" w:rsidR="00000000" w:rsidRPr="00000000">
        <w:rPr>
          <w:rFonts w:ascii="Gungsuh" w:cs="Gungsuh" w:eastAsia="Gungsuh" w:hAnsi="Gungsuh"/>
          <w:color w:val="0d0d0d"/>
          <w:rtl w:val="0"/>
        </w:rPr>
        <w:t xml:space="preserve"> &lt; 0.001; I² = 0%), indicating consistent efficacy across studies. However, categorical pain response outcomes (≥30% and ≥50% pain reduction), global patient-reported outcomes, and most safety outcomes did not differ significantly between groups. Dizziness was the only specific adverse event that occurred significantly more frequently with lacosamide (RR = 2.64; </w:t>
      </w:r>
      <w:r w:rsidDel="00000000" w:rsidR="00000000" w:rsidRPr="00000000">
        <w:rPr>
          <w:rFonts w:ascii="Times New Roman" w:cs="Times New Roman" w:eastAsia="Times New Roman" w:hAnsi="Times New Roman"/>
          <w:i w:val="1"/>
          <w:iCs w:val="1"/>
          <w:color w:val="0d0d0d"/>
          <w:rtl w:val="0"/>
        </w:rPr>
        <w:t xml:space="preserve">p</w:t>
      </w:r>
      <w:r w:rsidDel="00000000" w:rsidR="00000000" w:rsidRPr="00000000">
        <w:rPr>
          <w:rFonts w:ascii="Times New Roman" w:cs="Times New Roman" w:eastAsia="Times New Roman" w:hAnsi="Times New Roman"/>
          <w:color w:val="0d0d0d"/>
          <w:rtl w:val="0"/>
        </w:rPr>
        <w:t xml:space="preserve"> = 0.008), while treatment discontinuation due to adverse events showed borderline statistical significance (RR = 1.72; </w:t>
      </w:r>
      <w:r w:rsidDel="00000000" w:rsidR="00000000" w:rsidRPr="00000000">
        <w:rPr>
          <w:rFonts w:ascii="Times New Roman" w:cs="Times New Roman" w:eastAsia="Times New Roman" w:hAnsi="Times New Roman"/>
          <w:i w:val="1"/>
          <w:iCs w:val="1"/>
          <w:color w:val="0d0d0d"/>
          <w:rtl w:val="0"/>
        </w:rPr>
        <w:t xml:space="preserve">p</w:t>
      </w:r>
      <w:r w:rsidDel="00000000" w:rsidR="00000000" w:rsidRPr="00000000">
        <w:rPr>
          <w:rFonts w:ascii="Times New Roman" w:cs="Times New Roman" w:eastAsia="Times New Roman" w:hAnsi="Times New Roman"/>
          <w:color w:val="0d0d0d"/>
          <w:rtl w:val="0"/>
        </w:rPr>
        <w:t xml:space="preserve"> = 0.05).</w:t>
      </w:r>
    </w:p>
    <w:p w:rsidR="00000000" w:rsidDel="00000000" w:rsidP="00000000" w:rsidRDefault="00000000" w:rsidRPr="00000000" w14:paraId="00000178">
      <w:pPr>
        <w:spacing w:line="480" w:lineRule="auto"/>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b w:val="1"/>
          <w:bCs w:val="1"/>
          <w:color w:val="0d0d0d"/>
          <w:rtl w:val="0"/>
        </w:rPr>
        <w:t xml:space="preserve"> </w:t>
      </w:r>
    </w:p>
    <w:p w:rsidR="00000000" w:rsidDel="00000000" w:rsidP="00000000" w:rsidRDefault="00000000" w:rsidRPr="00000000" w14:paraId="00000179">
      <w:pPr>
        <w:spacing w:line="480" w:lineRule="auto"/>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b w:val="1"/>
          <w:bCs w:val="1"/>
          <w:color w:val="0d0d0d"/>
          <w:rtl w:val="0"/>
        </w:rPr>
        <w:t xml:space="preserve"> </w:t>
      </w:r>
    </w:p>
    <w:p w:rsidR="00000000" w:rsidDel="00000000" w:rsidP="00000000" w:rsidRDefault="00000000" w:rsidRPr="00000000" w14:paraId="0000017A">
      <w:pPr>
        <w:spacing w:line="480" w:lineRule="auto"/>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b w:val="1"/>
          <w:bCs w:val="1"/>
          <w:color w:val="0d0d0d"/>
          <w:rtl w:val="0"/>
        </w:rPr>
        <w:t xml:space="preserve"> </w:t>
      </w:r>
    </w:p>
    <w:p w:rsidR="00000000" w:rsidDel="00000000" w:rsidP="00000000" w:rsidRDefault="00000000" w:rsidRPr="00000000" w14:paraId="0000017B">
      <w:pPr>
        <w:spacing w:line="480" w:lineRule="auto"/>
        <w:rPr>
          <w:rFonts w:ascii="Times New Roman" w:cs="Times New Roman" w:eastAsia="Times New Roman" w:hAnsi="Times New Roman"/>
          <w:b w:val="1"/>
          <w:bCs w:val="1"/>
          <w:color w:val="0d0d0d"/>
        </w:rPr>
      </w:pPr>
      <w:r w:rsidDel="00000000" w:rsidR="00000000" w:rsidRPr="00000000">
        <w:rPr>
          <w:rFonts w:ascii="Times New Roman" w:cs="Times New Roman" w:eastAsia="Times New Roman" w:hAnsi="Times New Roman"/>
          <w:b w:val="1"/>
          <w:bCs w:val="1"/>
          <w:color w:val="0d0d0d"/>
          <w:rtl w:val="0"/>
        </w:rPr>
        <w:t xml:space="preserve"> </w:t>
      </w:r>
    </w:p>
    <w:p w:rsidR="00000000" w:rsidDel="00000000" w:rsidP="00000000" w:rsidRDefault="00000000" w:rsidRPr="00000000" w14:paraId="0000017C">
      <w:pPr>
        <w:spacing w:line="276" w:lineRule="auto"/>
        <w:rPr>
          <w:rFonts w:ascii="Times New Roman" w:cs="Times New Roman" w:eastAsia="Times New Roman" w:hAnsi="Times New Roman"/>
          <w:b w:val="1"/>
          <w:bCs w:val="1"/>
          <w:color w:val="0d0d0d"/>
          <w:sz w:val="32"/>
          <w:szCs w:val="32"/>
        </w:rPr>
      </w:pPr>
      <w:r w:rsidDel="00000000" w:rsidR="00000000" w:rsidRPr="00000000">
        <w:rPr>
          <w:rtl w:val="0"/>
        </w:rPr>
      </w:r>
    </w:p>
    <w:p w:rsidR="00000000" w:rsidDel="00000000" w:rsidP="00000000" w:rsidRDefault="00000000" w:rsidRPr="00000000" w14:paraId="0000017D">
      <w:pPr>
        <w:spacing w:after="160" w:lineRule="auto"/>
        <w:rPr>
          <w:rFonts w:ascii="Times New Roman" w:cs="Times New Roman" w:eastAsia="Times New Roman" w:hAnsi="Times New Roman"/>
          <w:b w:val="1"/>
          <w:bCs w:val="1"/>
          <w:color w:val="0d0d0d"/>
          <w:sz w:val="32"/>
          <w:szCs w:val="32"/>
        </w:rPr>
      </w:pPr>
      <w:r w:rsidDel="00000000" w:rsidR="00000000" w:rsidRPr="00000000">
        <w:rPr>
          <w:rFonts w:ascii="Times New Roman" w:cs="Times New Roman" w:eastAsia="Times New Roman" w:hAnsi="Times New Roman"/>
          <w:b w:val="1"/>
          <w:bCs w:val="1"/>
          <w:color w:val="0d0d0d"/>
          <w:sz w:val="32"/>
          <w:szCs w:val="32"/>
          <w:rtl w:val="0"/>
        </w:rPr>
        <w:t xml:space="preserve"> </w:t>
      </w:r>
    </w:p>
    <w:p w:rsidR="00000000" w:rsidDel="00000000" w:rsidP="00000000" w:rsidRDefault="00000000" w:rsidRPr="00000000" w14:paraId="0000017E">
      <w:pPr>
        <w:spacing w:after="160" w:lineRule="auto"/>
        <w:rPr>
          <w:rFonts w:ascii="Times New Roman" w:cs="Times New Roman" w:eastAsia="Times New Roman" w:hAnsi="Times New Roman"/>
          <w:b w:val="1"/>
          <w:bCs w:val="1"/>
          <w:color w:val="0d0d0d"/>
          <w:sz w:val="32"/>
          <w:szCs w:val="32"/>
        </w:rPr>
      </w:pPr>
      <w:r w:rsidDel="00000000" w:rsidR="00000000" w:rsidRPr="00000000">
        <w:rPr>
          <w:rtl w:val="0"/>
        </w:rPr>
      </w:r>
    </w:p>
    <w:p w:rsidR="00000000" w:rsidDel="00000000" w:rsidP="00000000" w:rsidRDefault="00000000" w:rsidRPr="00000000" w14:paraId="0000017F">
      <w:pPr>
        <w:spacing w:after="160" w:lineRule="auto"/>
        <w:rPr>
          <w:rFonts w:ascii="Times New Roman" w:cs="Times New Roman" w:eastAsia="Times New Roman" w:hAnsi="Times New Roman"/>
          <w:b w:val="1"/>
          <w:bCs w:val="1"/>
          <w:color w:val="0d0d0d"/>
          <w:sz w:val="32"/>
          <w:szCs w:val="32"/>
        </w:rPr>
      </w:pPr>
      <w:r w:rsidDel="00000000" w:rsidR="00000000" w:rsidRPr="00000000">
        <w:rPr>
          <w:rtl w:val="0"/>
        </w:rPr>
      </w:r>
    </w:p>
    <w:p w:rsidR="00000000" w:rsidDel="00000000" w:rsidP="00000000" w:rsidRDefault="00000000" w:rsidRPr="00000000" w14:paraId="00000180">
      <w:pPr>
        <w:spacing w:after="160" w:lineRule="auto"/>
        <w:rPr>
          <w:rFonts w:ascii="Times New Roman" w:cs="Times New Roman" w:eastAsia="Times New Roman" w:hAnsi="Times New Roman"/>
          <w:b w:val="1"/>
          <w:bCs w:val="1"/>
          <w:color w:val="0d0d0d"/>
          <w:sz w:val="32"/>
          <w:szCs w:val="32"/>
        </w:rPr>
      </w:pPr>
      <w:r w:rsidDel="00000000" w:rsidR="00000000" w:rsidRPr="00000000">
        <w:rPr>
          <w:rtl w:val="0"/>
        </w:rPr>
      </w:r>
    </w:p>
    <w:p w:rsidR="00000000" w:rsidDel="00000000" w:rsidP="00000000" w:rsidRDefault="00000000" w:rsidRPr="00000000" w14:paraId="00000181">
      <w:pPr>
        <w:spacing w:after="160" w:lineRule="auto"/>
        <w:rPr>
          <w:rFonts w:ascii="Times New Roman" w:cs="Times New Roman" w:eastAsia="Times New Roman" w:hAnsi="Times New Roman"/>
          <w:b w:val="1"/>
          <w:bCs w:val="1"/>
          <w:color w:val="0d0d0d"/>
          <w:sz w:val="32"/>
          <w:szCs w:val="32"/>
        </w:rPr>
      </w:pPr>
      <w:r w:rsidDel="00000000" w:rsidR="00000000" w:rsidRPr="00000000">
        <w:rPr>
          <w:rtl w:val="0"/>
        </w:rPr>
      </w:r>
    </w:p>
    <w:p w:rsidR="00000000" w:rsidDel="00000000" w:rsidP="00000000" w:rsidRDefault="00000000" w:rsidRPr="00000000" w14:paraId="00000182">
      <w:pPr>
        <w:spacing w:after="160" w:lineRule="auto"/>
        <w:rPr>
          <w:rFonts w:ascii="Times New Roman" w:cs="Times New Roman" w:eastAsia="Times New Roman" w:hAnsi="Times New Roman"/>
          <w:b w:val="1"/>
          <w:bCs w:val="1"/>
          <w:color w:val="0d0d0d"/>
          <w:sz w:val="32"/>
          <w:szCs w:val="32"/>
        </w:rPr>
      </w:pPr>
      <w:r w:rsidDel="00000000" w:rsidR="00000000" w:rsidRPr="00000000">
        <w:rPr>
          <w:rtl w:val="0"/>
        </w:rPr>
      </w:r>
    </w:p>
    <w:p w:rsidR="00000000" w:rsidDel="00000000" w:rsidP="00000000" w:rsidRDefault="00000000" w:rsidRPr="00000000" w14:paraId="00000183">
      <w:pPr>
        <w:spacing w:after="160" w:lineRule="auto"/>
        <w:rPr>
          <w:rFonts w:ascii="Times New Roman" w:cs="Times New Roman" w:eastAsia="Times New Roman" w:hAnsi="Times New Roman"/>
          <w:b w:val="1"/>
          <w:bCs w:val="1"/>
          <w:color w:val="0d0d0d"/>
          <w:sz w:val="32"/>
          <w:szCs w:val="32"/>
        </w:rPr>
      </w:pPr>
      <w:r w:rsidDel="00000000" w:rsidR="00000000" w:rsidRPr="00000000">
        <w:rPr>
          <w:rtl w:val="0"/>
        </w:rPr>
      </w:r>
    </w:p>
    <w:p w:rsidR="00000000" w:rsidDel="00000000" w:rsidP="00000000" w:rsidRDefault="00000000" w:rsidRPr="00000000" w14:paraId="00000184">
      <w:pPr>
        <w:spacing w:after="160" w:lineRule="auto"/>
        <w:rPr>
          <w:rFonts w:ascii="Times New Roman" w:cs="Times New Roman" w:eastAsia="Times New Roman" w:hAnsi="Times New Roman"/>
          <w:b w:val="1"/>
          <w:bCs w:val="1"/>
          <w:color w:val="0d0d0d"/>
          <w:sz w:val="32"/>
          <w:szCs w:val="32"/>
        </w:rPr>
      </w:pPr>
      <w:r w:rsidDel="00000000" w:rsidR="00000000" w:rsidRPr="00000000">
        <w:rPr>
          <w:rtl w:val="0"/>
        </w:rPr>
      </w:r>
    </w:p>
    <w:p w:rsidR="00000000" w:rsidDel="00000000" w:rsidP="00000000" w:rsidRDefault="00000000" w:rsidRPr="00000000" w14:paraId="00000185">
      <w:pPr>
        <w:spacing w:line="480" w:lineRule="auto"/>
        <w:jc w:val="center"/>
        <w:rPr>
          <w:rFonts w:ascii="Times New Roman" w:cs="Times New Roman" w:eastAsia="Times New Roman" w:hAnsi="Times New Roman"/>
          <w:b w:val="1"/>
          <w:bCs w:val="1"/>
          <w:color w:val="0d0d0d"/>
          <w:sz w:val="32"/>
          <w:szCs w:val="32"/>
        </w:rPr>
      </w:pPr>
      <w:r w:rsidDel="00000000" w:rsidR="00000000" w:rsidRPr="00000000">
        <w:rPr>
          <w:rFonts w:ascii="Times New Roman" w:cs="Times New Roman" w:eastAsia="Times New Roman" w:hAnsi="Times New Roman"/>
          <w:b w:val="1"/>
          <w:bCs w:val="1"/>
          <w:color w:val="0d0d0d"/>
          <w:sz w:val="32"/>
          <w:szCs w:val="32"/>
          <w:rtl w:val="0"/>
        </w:rPr>
        <w:t xml:space="preserve">DISCUSSION</w:t>
      </w:r>
    </w:p>
    <w:p w:rsidR="00000000" w:rsidDel="00000000" w:rsidP="00000000" w:rsidRDefault="00000000" w:rsidRPr="00000000" w14:paraId="00000186">
      <w:pPr>
        <w:spacing w:line="480" w:lineRule="auto"/>
        <w:rPr>
          <w:rFonts w:ascii="Times New Roman" w:cs="Times New Roman" w:eastAsia="Times New Roman" w:hAnsi="Times New Roman"/>
          <w:color w:val="0d0d0d"/>
          <w:sz w:val="28"/>
          <w:szCs w:val="28"/>
        </w:rPr>
      </w:pPr>
      <w:r w:rsidDel="00000000" w:rsidR="00000000" w:rsidRPr="00000000">
        <w:rPr>
          <w:rFonts w:ascii="Gungsuh" w:cs="Gungsuh" w:eastAsia="Gungsuh" w:hAnsi="Gungsuh"/>
          <w:color w:val="0d0d0d"/>
          <w:rtl w:val="0"/>
        </w:rPr>
        <w:t xml:space="preserve">We conducted a comprehensive systematic review and meta-analysis of randomized controlled trials (RCTs), evaluating the safety and efficacy of lacosamide for neuropathic pain. Additionally, we assessed the methodological quality of included RCTs using the Cochrane Risk of Bias (Rob 2) tool and the GRADE framework. The principal finding of our meta-analysis was the change in pain intensity score. Our findings demonstrate that lacosamide is associated with a significant reduction in pain intensity compared with placebo (MD −0.69, 95% CI −1.08 to −0.30; I² = 0%), indicating a strong, consistent treatment effect across all the studies. However, despite having a favourable effect, lacosamide did not significantly improve ≥30% pain reduction (RR 1.79, 95% CI 0.65–4.91; I² = 58%), ≥50% pain reduction (RR 2.01, 95% CI 0.84–4.79; I² = 25%), or patient global impression of change (PGIC) (RR 1.19, 95% CI 0.99–1.44; I² = 0%). Responder analyses are inherently less statistically efficient because dichotomizing continuous pain scores reduces information and increases susceptibility to imprecision. Additionally, there was limited evidence for quality of sleep and health-related quality of life outcomes. Collectively, our findings suggest that lacosamide is associated with modest but consistent analgesic benefit, although there was inconclusive evidence for several patient-centred outcomes. The primary efficacy outcome was predominantly derived from trials judged to have a low risk of bias and certainty of evidence was further strengthened by the GRADE assessment for continuous pain outcomes compared with several secondary efficacy endpoints. Given that chronic neuropathic pain substantially impairs physical functioning and quality of life, even modest reductions in pain intensity may translate into clinically meaningful improvements in patients' daily functioning and overall well-being [8,9,10</w:t>
      </w:r>
      <w:r w:rsidDel="00000000" w:rsidR="00000000" w:rsidRPr="00000000">
        <w:rPr>
          <w:rFonts w:ascii="Times New Roman" w:cs="Times New Roman" w:eastAsia="Times New Roman" w:hAnsi="Times New Roman"/>
          <w:color w:val="0d0d0d"/>
          <w:sz w:val="28"/>
          <w:szCs w:val="28"/>
          <w:rtl w:val="0"/>
        </w:rPr>
        <w:t xml:space="preserve">].</w:t>
      </w:r>
    </w:p>
    <w:p w:rsidR="00000000" w:rsidDel="00000000" w:rsidP="00000000" w:rsidRDefault="00000000" w:rsidRPr="00000000" w14:paraId="00000187">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The most robust finding of this systematic review is the significant reduction in pain intensity. Despite variations in neuropathic pain etiologist, treatment duration, and dosing regimens across the trials, the absence of statistical heterogeneity (I² = 0%) indicates a clinically strong and consistent treatment effect. This finding is biologically plausible, given the unique mechanism of lacosamide. Lacosamide selectively enhances the slow inactivation of voltage-gated sodium channels, reducing pathological neuronal hyperexcitability while preserving physiological nerve conduction. Our findings are consistent with previous RCTs, including the pivotal phase II trial by Rauck et al., and systematic reviews evaluating lacosamide for neuropathic pain [11,12,15,16,17,18].</w:t>
      </w:r>
    </w:p>
    <w:p w:rsidR="00000000" w:rsidDel="00000000" w:rsidP="00000000" w:rsidRDefault="00000000" w:rsidRPr="00000000" w14:paraId="00000188">
      <w:pPr>
        <w:spacing w:line="480" w:lineRule="auto"/>
        <w:rPr>
          <w:rFonts w:ascii="Times New Roman" w:cs="Times New Roman" w:eastAsia="Times New Roman" w:hAnsi="Times New Roman"/>
          <w:color w:val="0d0d0d"/>
        </w:rPr>
      </w:pPr>
      <w:r w:rsidDel="00000000" w:rsidR="00000000" w:rsidRPr="00000000">
        <w:rPr>
          <w:rFonts w:ascii="Gungsuh" w:cs="Gungsuh" w:eastAsia="Gungsuh" w:hAnsi="Gungsuh"/>
          <w:color w:val="0d0d0d"/>
          <w:rtl w:val="0"/>
        </w:rPr>
        <w:t xml:space="preserve">Although responder analyses consistently favoured lacosamide, both the ≥30% and the ≥50% pain reduction outcomes did not reach statistical significance. This likely reflects limited statistical power, wide confidence intervals, and the reduced sensitivity of dichotomous responder thresholds rather than a true absence of treatment effect. Similarly, patient-reported outcomes, including PGIC, sleep quality, and quality of life, generally favoured lacosamide but were based on a few studies, limiting quantitative synthesis.  Although most contributing studies were judged to have a low risk of bias, the GRADE assessment demonstrated low certainty of evidence for these outcomes, mainly due to imprecision and limited sample size [9,12,15,16,17,18].</w:t>
      </w:r>
    </w:p>
    <w:p w:rsidR="00000000" w:rsidDel="00000000" w:rsidP="00000000" w:rsidRDefault="00000000" w:rsidRPr="00000000" w14:paraId="00000189">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 The safety profile of a drug is a key determinant of treatment selection in neuropathic pain, as treatment-related adverse events often influence long-term adherence and persistence. Our analysis showed that lacosamide was generally well tolerated across the included trials. Lacosamide demonstrated an overall favourable safety profile, with no significant differences compared with placebo in overall adverse events, serious adverse events, treatment discontinuation due to adverse events, headache, nausea, diarrhoea, fatigue, or somnolence. However, dizziness was the only adverse event that occurred significantly more frequently with lacosamide (RR 2.64, 95% CI 1.28–5.42; I² = 0%). The absence of statistical heterogeneity indicates that this association was highly consistent across the included trials. Although dizziness was significantly more frequent with lacosamide, it was not associated with higher rates of serious adverse events and treatment discontinuation. This suggests that it is generally mild and manageable in clinical practice [15- 19].</w:t>
      </w:r>
    </w:p>
    <w:p w:rsidR="00000000" w:rsidDel="00000000" w:rsidP="00000000" w:rsidRDefault="00000000" w:rsidRPr="00000000" w14:paraId="0000018A">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color w:val="0d0d0d"/>
          <w:rtl w:val="0"/>
        </w:rPr>
        <w:t xml:space="preserve"> Our safety findings are consistent with previous randomized trials and the Cochrane review, which similarly identified dizziness as the most frequent treatment-related adverse event associated with lacosamide, without increasing the risk of serious adverse events or treatment discontinuation [12]. The updated NeuPSIG recommendations similarly support individualized use of sodium-channel modulators according to the expected balance between efficacy and tolerability [9]. Most safety outcomes were derived from trials judged to have a low overall risk of bias, although the certainty of evidence for uncommon adverse events remained limited due to imprecision and small number of reported events.</w:t>
        <w:br w:type="textWrapping"/>
        <w:t xml:space="preserve"> </w:t>
      </w:r>
      <w:r w:rsidDel="00000000" w:rsidR="00000000" w:rsidRPr="00000000">
        <w:rPr>
          <w:rFonts w:ascii="Times New Roman" w:cs="Times New Roman" w:eastAsia="Times New Roman" w:hAnsi="Times New Roman"/>
          <w:b w:val="1"/>
          <w:bCs w:val="1"/>
          <w:color w:val="0d0d0d"/>
          <w:sz w:val="28"/>
          <w:szCs w:val="28"/>
          <w:rtl w:val="0"/>
        </w:rPr>
        <w:t xml:space="preserve">Strengths</w:t>
      </w:r>
    </w:p>
    <w:p w:rsidR="00000000" w:rsidDel="00000000" w:rsidP="00000000" w:rsidRDefault="00000000" w:rsidRPr="00000000" w14:paraId="0000018B">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color w:val="0d0d0d"/>
          <w:rtl w:val="0"/>
        </w:rPr>
        <w:t xml:space="preserve">This systematic review and meta-analysis have many notable strengths. First, it pulls together and summarizes all the randomized trials that tested lacosamide for neuropathic pain and it adds both efficacy and safety outcomes within a single review. This allows us to balance between analgesic benefit and tolerability of lacosamide to be assessed together rather than separately. Secondly, methodological quality was checked using the cochrane RoB 2 tool for all the five domains for each individual outcome and certainty of evidence was evaluated using the GRADE framework showing transparency that how much confidence can be placed in each pooled estimate. Thirdly, the primary efficacy outcome was derived from trials that have low risk of bias. The absence of statistical heterogeneity (I² = 0%) in these trials also strengthens the confidence that observed reduction in pain intensity shows that it’s a true treatment option rather than just a result of a single good study. Fourth, by separately analysing continuous and dichotomous efficacy outcomes along with a wide range of side effects, this review gives the whole picture of lacosamide's clinical profile which is particularly relevant because the existing evidence shows how heavily long-term adherence in neuropathic pain management depends on tolerability rather than efficacy alone.</w:t>
        <w:br w:type="textWrapping"/>
        <w:t xml:space="preserve"> </w:t>
      </w:r>
      <w:r w:rsidDel="00000000" w:rsidR="00000000" w:rsidRPr="00000000">
        <w:rPr>
          <w:rFonts w:ascii="Times New Roman" w:cs="Times New Roman" w:eastAsia="Times New Roman" w:hAnsi="Times New Roman"/>
          <w:b w:val="1"/>
          <w:bCs w:val="1"/>
          <w:color w:val="0d0d0d"/>
          <w:sz w:val="28"/>
          <w:szCs w:val="28"/>
          <w:rtl w:val="0"/>
        </w:rPr>
        <w:t xml:space="preserve">Limitations</w:t>
      </w:r>
    </w:p>
    <w:p w:rsidR="00000000" w:rsidDel="00000000" w:rsidP="00000000" w:rsidRDefault="00000000" w:rsidRPr="00000000" w14:paraId="0000018C">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Many aspects of this systematic review and meta-analysis needed some consideration.</w:t>
      </w:r>
    </w:p>
    <w:p w:rsidR="00000000" w:rsidDel="00000000" w:rsidP="00000000" w:rsidRDefault="00000000" w:rsidRPr="00000000" w14:paraId="0000018D">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Firstly, only a small number of randomized trials were available. Some important outcomes such as sleep quality and quality of life, came out from very few studies, so the overall summary was less precise. Secondly, significant heterogeneity was found among the trials; patients had different causes of nerve pain, different starting pain levels, and were treated with different doses and for different lengths of time. This made the results less consistent, but the main pain outcome was consistent. Thirdly, some trials were found to have high risk of bias in aspects like missing data or selective reporting, which could have added bias to the results. Fourth, serious side effects were rare in the trial which didn’t provide us with enough data to clearly compare safety between lacosamide and placebo for uncommon but important risks. Finally, like most nerve pain drug trials, the follow up was comparatively short, so the long-term efficacy and tolerability of lacosamide still needs to be found out.</w:t>
      </w:r>
    </w:p>
    <w:p w:rsidR="00000000" w:rsidDel="00000000" w:rsidP="00000000" w:rsidRDefault="00000000" w:rsidRPr="00000000" w14:paraId="0000018E">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Future directions</w:t>
      </w:r>
    </w:p>
    <w:p w:rsidR="00000000" w:rsidDel="00000000" w:rsidP="00000000" w:rsidRDefault="00000000" w:rsidRPr="00000000" w14:paraId="0000018F">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color w:val="0d0d0d"/>
          <w:rtl w:val="0"/>
        </w:rPr>
        <w:t xml:space="preserve">Future studies should work on forming long‑term randomized controlled trials (RCTs) that specifically measure responder‑defined pain outcomes and patient‑centred outcomes such as sleep quality and health‑related quality of life since current studies and evidence in these aspects is limited. Trials that compare lacosamide directly with established first‑line agents (rather than placebo alone) would really help clarify where lacosamide actually fits among the whole treatment regimen for neuropathic pain. Researchers should also use standardized outcome reporting and pre‑registered analysis plans so that the selective outcome reporting bias can be reduced, which was noted in some of the included studies. This approach will significantly strengthen the certainty of evidence in future meta‑analyses.</w:t>
        <w:br w:type="textWrapping"/>
        <w:t xml:space="preserve"> </w:t>
      </w:r>
      <w:r w:rsidDel="00000000" w:rsidR="00000000" w:rsidRPr="00000000">
        <w:rPr>
          <w:rFonts w:ascii="Times New Roman" w:cs="Times New Roman" w:eastAsia="Times New Roman" w:hAnsi="Times New Roman"/>
          <w:b w:val="1"/>
          <w:bCs w:val="1"/>
          <w:color w:val="0d0d0d"/>
          <w:sz w:val="28"/>
          <w:szCs w:val="28"/>
          <w:rtl w:val="0"/>
        </w:rPr>
        <w:t xml:space="preserve">Conclusion</w:t>
      </w:r>
    </w:p>
    <w:p w:rsidR="00000000" w:rsidDel="00000000" w:rsidP="00000000" w:rsidRDefault="00000000" w:rsidRPr="00000000" w14:paraId="00000190">
      <w:pPr>
        <w:spacing w:line="480" w:lineRule="auto"/>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Lacosamide produces a modest but consistent reduction in pain intensity versus placebo, with low risk of bias, reasonable certainty of evidence, and good tolerability apart from a higher rate of dizziness. While patient-centered outcomes favored lacosamide, they lacked statistical significance likely due to limited statistical power rather than a lack of true benefit. Consequently, lacosamide can be considered a viable second-line or alternative option for neuropathic pain, especially where first-line agents are poorly tolerated. However, given the limited number of trials, caution is required when generalizing these findings, and future large scale, standardized trials are necessary to guide routine clinical use.</w:t>
      </w:r>
    </w:p>
    <w:p w:rsidR="00000000" w:rsidDel="00000000" w:rsidP="00000000" w:rsidRDefault="00000000" w:rsidRPr="00000000" w14:paraId="00000191">
      <w:pPr>
        <w:spacing w:line="480" w:lineRule="auto"/>
        <w:rPr>
          <w:rFonts w:ascii="Times New Roman" w:cs="Times New Roman" w:eastAsia="Times New Roman" w:hAnsi="Times New Roman"/>
          <w:b w:val="1"/>
          <w:bCs w:val="1"/>
          <w:color w:val="0d0d0d"/>
          <w:sz w:val="28"/>
          <w:szCs w:val="28"/>
        </w:rPr>
      </w:pPr>
      <w:r w:rsidDel="00000000" w:rsidR="00000000" w:rsidRPr="00000000">
        <w:rPr>
          <w:rtl w:val="0"/>
        </w:rPr>
      </w:r>
    </w:p>
    <w:p w:rsidR="00000000" w:rsidDel="00000000" w:rsidP="00000000" w:rsidRDefault="00000000" w:rsidRPr="00000000" w14:paraId="00000192">
      <w:pPr>
        <w:spacing w:line="480" w:lineRule="auto"/>
        <w:rPr>
          <w:rFonts w:ascii="Times New Roman" w:cs="Times New Roman" w:eastAsia="Times New Roman" w:hAnsi="Times New Roman"/>
          <w:b w:val="1"/>
          <w:bCs w:val="1"/>
          <w:color w:val="0d0d0d"/>
          <w:sz w:val="28"/>
          <w:szCs w:val="28"/>
        </w:rPr>
      </w:pPr>
      <w:r w:rsidDel="00000000" w:rsidR="00000000" w:rsidRPr="00000000">
        <w:rPr>
          <w:rtl w:val="0"/>
        </w:rPr>
      </w:r>
    </w:p>
    <w:p w:rsidR="00000000" w:rsidDel="00000000" w:rsidP="00000000" w:rsidRDefault="00000000" w:rsidRPr="00000000" w14:paraId="00000193">
      <w:pPr>
        <w:spacing w:line="480" w:lineRule="auto"/>
        <w:rPr>
          <w:rFonts w:ascii="Times New Roman" w:cs="Times New Roman" w:eastAsia="Times New Roman" w:hAnsi="Times New Roman"/>
          <w:b w:val="1"/>
          <w:bCs w:val="1"/>
          <w:color w:val="0d0d0d"/>
          <w:sz w:val="28"/>
          <w:szCs w:val="28"/>
        </w:rPr>
      </w:pPr>
      <w:r w:rsidDel="00000000" w:rsidR="00000000" w:rsidRPr="00000000">
        <w:rPr>
          <w:rtl w:val="0"/>
        </w:rPr>
      </w:r>
    </w:p>
    <w:p w:rsidR="00000000" w:rsidDel="00000000" w:rsidP="00000000" w:rsidRDefault="00000000" w:rsidRPr="00000000" w14:paraId="00000194">
      <w:pPr>
        <w:spacing w:line="480" w:lineRule="auto"/>
        <w:rPr>
          <w:rFonts w:ascii="Times New Roman" w:cs="Times New Roman" w:eastAsia="Times New Roman" w:hAnsi="Times New Roman"/>
          <w:b w:val="1"/>
          <w:bCs w:val="1"/>
          <w:color w:val="0d0d0d"/>
          <w:sz w:val="28"/>
          <w:szCs w:val="28"/>
        </w:rPr>
      </w:pPr>
      <w:r w:rsidDel="00000000" w:rsidR="00000000" w:rsidRPr="00000000">
        <w:rPr>
          <w:rtl w:val="0"/>
        </w:rPr>
      </w:r>
    </w:p>
    <w:p w:rsidR="00000000" w:rsidDel="00000000" w:rsidP="00000000" w:rsidRDefault="00000000" w:rsidRPr="00000000" w14:paraId="00000195">
      <w:pPr>
        <w:spacing w:line="480" w:lineRule="auto"/>
        <w:rPr>
          <w:rFonts w:ascii="Times New Roman" w:cs="Times New Roman" w:eastAsia="Times New Roman" w:hAnsi="Times New Roman"/>
          <w:b w:val="1"/>
          <w:bCs w:val="1"/>
          <w:color w:val="0d0d0d"/>
          <w:sz w:val="28"/>
          <w:szCs w:val="28"/>
        </w:rPr>
      </w:pPr>
      <w:r w:rsidDel="00000000" w:rsidR="00000000" w:rsidRPr="00000000">
        <w:rPr>
          <w:rtl w:val="0"/>
        </w:rPr>
      </w:r>
    </w:p>
    <w:p w:rsidR="00000000" w:rsidDel="00000000" w:rsidP="00000000" w:rsidRDefault="00000000" w:rsidRPr="00000000" w14:paraId="00000196">
      <w:pPr>
        <w:spacing w:line="480" w:lineRule="auto"/>
        <w:rPr>
          <w:rFonts w:ascii="Times New Roman" w:cs="Times New Roman" w:eastAsia="Times New Roman" w:hAnsi="Times New Roman"/>
          <w:b w:val="1"/>
          <w:bCs w:val="1"/>
          <w:color w:val="0d0d0d"/>
          <w:sz w:val="28"/>
          <w:szCs w:val="28"/>
        </w:rPr>
      </w:pPr>
      <w:r w:rsidDel="00000000" w:rsidR="00000000" w:rsidRPr="00000000">
        <w:rPr>
          <w:rtl w:val="0"/>
        </w:rPr>
      </w:r>
    </w:p>
    <w:p w:rsidR="00000000" w:rsidDel="00000000" w:rsidP="00000000" w:rsidRDefault="00000000" w:rsidRPr="00000000" w14:paraId="00000197">
      <w:pPr>
        <w:spacing w:line="480" w:lineRule="auto"/>
        <w:rPr>
          <w:rFonts w:ascii="Times New Roman" w:cs="Times New Roman" w:eastAsia="Times New Roman" w:hAnsi="Times New Roman"/>
          <w:b w:val="1"/>
          <w:bCs w:val="1"/>
          <w:color w:val="0d0d0d"/>
          <w:sz w:val="28"/>
          <w:szCs w:val="28"/>
        </w:rPr>
      </w:pPr>
      <w:r w:rsidDel="00000000" w:rsidR="00000000" w:rsidRPr="00000000">
        <w:rPr>
          <w:rFonts w:ascii="Times New Roman" w:cs="Times New Roman" w:eastAsia="Times New Roman" w:hAnsi="Times New Roman"/>
          <w:b w:val="1"/>
          <w:bCs w:val="1"/>
          <w:color w:val="0d0d0d"/>
          <w:sz w:val="28"/>
          <w:szCs w:val="28"/>
          <w:rtl w:val="0"/>
        </w:rPr>
        <w:t xml:space="preserve">References</w:t>
      </w:r>
    </w:p>
    <w:p w:rsidR="00000000" w:rsidDel="00000000" w:rsidP="00000000" w:rsidRDefault="00000000" w:rsidRPr="00000000" w14:paraId="00000198">
      <w:pPr>
        <w:spacing w:line="480" w:lineRule="auto"/>
        <w:ind w:left="36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1.</w:t>
      </w:r>
      <w:r w:rsidDel="00000000" w:rsidR="00000000" w:rsidRPr="00000000">
        <w:rPr>
          <w:rFonts w:ascii="Times New Roman" w:cs="Times New Roman" w:eastAsia="Times New Roman" w:hAnsi="Times New Roman"/>
          <w:color w:val="0d0d0d"/>
          <w:sz w:val="14"/>
          <w:szCs w:val="14"/>
          <w:rtl w:val="0"/>
        </w:rPr>
        <w:t xml:space="preserve"> </w:t>
        <w:tab/>
      </w:r>
      <w:r w:rsidDel="00000000" w:rsidR="00000000" w:rsidRPr="00000000">
        <w:rPr>
          <w:rFonts w:ascii="Times New Roman" w:cs="Times New Roman" w:eastAsia="Times New Roman" w:hAnsi="Times New Roman"/>
          <w:color w:val="0d0d0d"/>
          <w:rtl w:val="0"/>
        </w:rPr>
        <w:t xml:space="preserve">N. B. Finnerup et al., “Neuropathic pain: an updated grading system for research and clinical practice.,” Pain, vol. 157, no. 8, pp. 1599–1606, Aug. 2016, doi: 10.1097 j. pain.0000000000000492.</w:t>
      </w:r>
    </w:p>
    <w:p w:rsidR="00000000" w:rsidDel="00000000" w:rsidP="00000000" w:rsidRDefault="00000000" w:rsidRPr="00000000" w14:paraId="00000199">
      <w:pPr>
        <w:spacing w:line="480" w:lineRule="auto"/>
        <w:ind w:left="36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2.</w:t>
      </w:r>
      <w:r w:rsidDel="00000000" w:rsidR="00000000" w:rsidRPr="00000000">
        <w:rPr>
          <w:rFonts w:ascii="Times New Roman" w:cs="Times New Roman" w:eastAsia="Times New Roman" w:hAnsi="Times New Roman"/>
          <w:color w:val="0d0d0d"/>
          <w:sz w:val="14"/>
          <w:szCs w:val="14"/>
          <w:rtl w:val="0"/>
        </w:rPr>
        <w:t xml:space="preserve"> </w:t>
        <w:tab/>
      </w:r>
      <w:r w:rsidDel="00000000" w:rsidR="00000000" w:rsidRPr="00000000">
        <w:rPr>
          <w:rFonts w:ascii="Times New Roman" w:cs="Times New Roman" w:eastAsia="Times New Roman" w:hAnsi="Times New Roman"/>
          <w:color w:val="0d0d0d"/>
          <w:rtl w:val="0"/>
        </w:rPr>
        <w:t xml:space="preserve">van Hecke O, Austin SK, Khan RA, Smith BH, Torrance N. Neuropathic pain in the general population: a systematic review of epidemiological studies. Pain. 2014;155(4):654–662. DOI: 10.1016/j.pain.2013.11.013</w:t>
      </w:r>
    </w:p>
    <w:p w:rsidR="00000000" w:rsidDel="00000000" w:rsidP="00000000" w:rsidRDefault="00000000" w:rsidRPr="00000000" w14:paraId="0000019A">
      <w:pPr>
        <w:spacing w:line="480" w:lineRule="auto"/>
        <w:ind w:left="36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3.</w:t>
      </w:r>
      <w:r w:rsidDel="00000000" w:rsidR="00000000" w:rsidRPr="00000000">
        <w:rPr>
          <w:rFonts w:ascii="Times New Roman" w:cs="Times New Roman" w:eastAsia="Times New Roman" w:hAnsi="Times New Roman"/>
          <w:color w:val="0d0d0d"/>
          <w:sz w:val="14"/>
          <w:szCs w:val="14"/>
          <w:rtl w:val="0"/>
        </w:rPr>
        <w:t xml:space="preserve"> </w:t>
        <w:tab/>
      </w:r>
      <w:r w:rsidDel="00000000" w:rsidR="00000000" w:rsidRPr="00000000">
        <w:rPr>
          <w:rFonts w:ascii="Times New Roman" w:cs="Times New Roman" w:eastAsia="Times New Roman" w:hAnsi="Times New Roman"/>
          <w:color w:val="0d0d0d"/>
          <w:rtl w:val="0"/>
        </w:rPr>
        <w:t xml:space="preserve">D. C. Rosenberger, V. Blechschmidt, H. Timmerman, A. Wolff, and R.-D. Treede, “Challenges of neuropathic pain: focus on diabetic neuropathy.,” J. Neural Transm., vol. 127, no. 4, pp. 589–624, Apr. 2020, doi: 10.1007/s00702-020-02145-7.</w:t>
      </w:r>
    </w:p>
    <w:p w:rsidR="00000000" w:rsidDel="00000000" w:rsidP="00000000" w:rsidRDefault="00000000" w:rsidRPr="00000000" w14:paraId="0000019B">
      <w:pPr>
        <w:spacing w:line="480" w:lineRule="auto"/>
        <w:ind w:left="36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4.</w:t>
      </w:r>
      <w:r w:rsidDel="00000000" w:rsidR="00000000" w:rsidRPr="00000000">
        <w:rPr>
          <w:rFonts w:ascii="Times New Roman" w:cs="Times New Roman" w:eastAsia="Times New Roman" w:hAnsi="Times New Roman"/>
          <w:color w:val="0d0d0d"/>
          <w:sz w:val="14"/>
          <w:szCs w:val="14"/>
          <w:rtl w:val="0"/>
        </w:rPr>
        <w:t xml:space="preserve"> </w:t>
        <w:tab/>
      </w:r>
      <w:r w:rsidDel="00000000" w:rsidR="00000000" w:rsidRPr="00000000">
        <w:rPr>
          <w:rFonts w:ascii="Times New Roman" w:cs="Times New Roman" w:eastAsia="Times New Roman" w:hAnsi="Times New Roman"/>
          <w:color w:val="0d0d0d"/>
          <w:rtl w:val="0"/>
        </w:rPr>
        <w:t xml:space="preserve">Lacosamide Monge-Márquez ME, Márquez-Rivas J, Mayorga-Buiza MJ, Rivero-Garvía M. Lacosamida como alternativa en el tratamiento del dolor neuropatico posquirurgico en una paciente alergica [Lacosamide as an alternative in the treatment of post-surgery neuropathic pain in an allergic patient]. Rev Neurol. 2013 Oct 1;57(7):313-6. Spanish. PMID: 24052442.</w:t>
      </w:r>
    </w:p>
    <w:p w:rsidR="00000000" w:rsidDel="00000000" w:rsidP="00000000" w:rsidRDefault="00000000" w:rsidRPr="00000000" w14:paraId="0000019C">
      <w:pPr>
        <w:spacing w:line="480" w:lineRule="auto"/>
        <w:ind w:left="36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5.</w:t>
      </w:r>
      <w:r w:rsidDel="00000000" w:rsidR="00000000" w:rsidRPr="00000000">
        <w:rPr>
          <w:rFonts w:ascii="Times New Roman" w:cs="Times New Roman" w:eastAsia="Times New Roman" w:hAnsi="Times New Roman"/>
          <w:color w:val="0d0d0d"/>
          <w:sz w:val="14"/>
          <w:szCs w:val="14"/>
          <w:rtl w:val="0"/>
        </w:rPr>
        <w:t xml:space="preserve"> </w:t>
        <w:tab/>
      </w:r>
      <w:r w:rsidDel="00000000" w:rsidR="00000000" w:rsidRPr="00000000">
        <w:rPr>
          <w:rFonts w:ascii="Times New Roman" w:cs="Times New Roman" w:eastAsia="Times New Roman" w:hAnsi="Times New Roman"/>
          <w:color w:val="0d0d0d"/>
          <w:rtl w:val="0"/>
        </w:rPr>
        <w:t xml:space="preserve">L. Hearn, S. Derry, and R. A. Moore, “Lacosamide for neuropathic pain and fibromyalgia in adults.,” Cochrane Database Syst. Rev., vol. 2012, no. 2, p. CD009318, Feb. 2012, doi: 10.1002/14651858.CD009318.pub2.</w:t>
      </w:r>
    </w:p>
    <w:p w:rsidR="00000000" w:rsidDel="00000000" w:rsidP="00000000" w:rsidRDefault="00000000" w:rsidRPr="00000000" w14:paraId="0000019D">
      <w:pPr>
        <w:spacing w:line="480" w:lineRule="auto"/>
        <w:ind w:left="36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6.</w:t>
      </w:r>
      <w:r w:rsidDel="00000000" w:rsidR="00000000" w:rsidRPr="00000000">
        <w:rPr>
          <w:rFonts w:ascii="Times New Roman" w:cs="Times New Roman" w:eastAsia="Times New Roman" w:hAnsi="Times New Roman"/>
          <w:color w:val="0d0d0d"/>
          <w:sz w:val="14"/>
          <w:szCs w:val="14"/>
          <w:rtl w:val="0"/>
        </w:rPr>
        <w:t xml:space="preserve"> </w:t>
        <w:tab/>
      </w:r>
      <w:r w:rsidDel="00000000" w:rsidR="00000000" w:rsidRPr="00000000">
        <w:rPr>
          <w:rFonts w:ascii="Times New Roman" w:cs="Times New Roman" w:eastAsia="Times New Roman" w:hAnsi="Times New Roman"/>
          <w:color w:val="0d0d0d"/>
          <w:rtl w:val="0"/>
        </w:rPr>
        <w:t xml:space="preserve">Liberati A., Altman D., Tetzlaff J., et al. The PRISMA statement for reporting systematic reviews and meta-analyses of studies that evaluate healthcare interventions: explanation and elaboration.</w:t>
      </w:r>
      <w:r w:rsidDel="00000000" w:rsidR="00000000" w:rsidRPr="00000000">
        <w:rPr>
          <w:rtl w:val="0"/>
        </w:rPr>
        <w:t xml:space="preserve"> </w:t>
      </w:r>
      <w:r w:rsidDel="00000000" w:rsidR="00000000" w:rsidRPr="00000000">
        <w:rPr>
          <w:rFonts w:ascii="Times New Roman" w:cs="Times New Roman" w:eastAsia="Times New Roman" w:hAnsi="Times New Roman"/>
          <w:color w:val="0d0d0d"/>
          <w:rtl w:val="0"/>
        </w:rPr>
        <w:t xml:space="preserve">BMJ 2021;372:n71, BMJ. 2009;21 doi: 10.1136/bmj.b2700. [</w:t>
      </w:r>
      <w:hyperlink r:id="rId21">
        <w:r w:rsidDel="00000000" w:rsidR="00000000" w:rsidRPr="00000000">
          <w:rPr>
            <w:rFonts w:ascii="Times New Roman" w:cs="Times New Roman" w:eastAsia="Times New Roman" w:hAnsi="Times New Roman"/>
            <w:color w:val="0d0d0d"/>
            <w:u w:val="single"/>
            <w:rtl w:val="0"/>
          </w:rPr>
          <w:t xml:space="preserve">DOI</w:t>
        </w:r>
      </w:hyperlink>
      <w:r w:rsidDel="00000000" w:rsidR="00000000" w:rsidRPr="00000000">
        <w:rPr>
          <w:rFonts w:ascii="Times New Roman" w:cs="Times New Roman" w:eastAsia="Times New Roman" w:hAnsi="Times New Roman"/>
          <w:color w:val="0d0d0d"/>
          <w:rtl w:val="0"/>
        </w:rPr>
        <w:t xml:space="preserve">] [</w:t>
      </w:r>
      <w:hyperlink r:id="rId22">
        <w:r w:rsidDel="00000000" w:rsidR="00000000" w:rsidRPr="00000000">
          <w:rPr>
            <w:rFonts w:ascii="Times New Roman" w:cs="Times New Roman" w:eastAsia="Times New Roman" w:hAnsi="Times New Roman"/>
            <w:color w:val="0d0d0d"/>
            <w:u w:val="single"/>
            <w:rtl w:val="0"/>
          </w:rPr>
          <w:t xml:space="preserve">PMC free article</w:t>
        </w:r>
      </w:hyperlink>
      <w:r w:rsidDel="00000000" w:rsidR="00000000" w:rsidRPr="00000000">
        <w:rPr>
          <w:rFonts w:ascii="Times New Roman" w:cs="Times New Roman" w:eastAsia="Times New Roman" w:hAnsi="Times New Roman"/>
          <w:color w:val="0d0d0d"/>
          <w:rtl w:val="0"/>
        </w:rPr>
        <w:t xml:space="preserve">] [</w:t>
      </w:r>
      <w:hyperlink r:id="rId23">
        <w:r w:rsidDel="00000000" w:rsidR="00000000" w:rsidRPr="00000000">
          <w:rPr>
            <w:rFonts w:ascii="Times New Roman" w:cs="Times New Roman" w:eastAsia="Times New Roman" w:hAnsi="Times New Roman"/>
            <w:color w:val="0d0d0d"/>
            <w:u w:val="single"/>
            <w:rtl w:val="0"/>
          </w:rPr>
          <w:t xml:space="preserve">PubMed</w:t>
        </w:r>
      </w:hyperlink>
      <w:r w:rsidDel="00000000" w:rsidR="00000000" w:rsidRPr="00000000">
        <w:rPr>
          <w:rFonts w:ascii="Times New Roman" w:cs="Times New Roman" w:eastAsia="Times New Roman" w:hAnsi="Times New Roman"/>
          <w:color w:val="0d0d0d"/>
          <w:rtl w:val="0"/>
        </w:rPr>
        <w:t xml:space="preserve">] [</w:t>
      </w:r>
      <w:hyperlink r:id="rId24">
        <w:r w:rsidDel="00000000" w:rsidR="00000000" w:rsidRPr="00000000">
          <w:rPr>
            <w:rFonts w:ascii="Times New Roman" w:cs="Times New Roman" w:eastAsia="Times New Roman" w:hAnsi="Times New Roman"/>
            <w:color w:val="0d0d0d"/>
            <w:u w:val="single"/>
            <w:rtl w:val="0"/>
          </w:rPr>
          <w:t xml:space="preserve">Google Scholar</w:t>
        </w:r>
      </w:hyperlink>
      <w:r w:rsidDel="00000000" w:rsidR="00000000" w:rsidRPr="00000000">
        <w:rPr>
          <w:rFonts w:ascii="Times New Roman" w:cs="Times New Roman" w:eastAsia="Times New Roman" w:hAnsi="Times New Roman"/>
          <w:color w:val="0d0d0d"/>
          <w:rtl w:val="0"/>
        </w:rPr>
        <w:t xml:space="preserve">]</w:t>
      </w:r>
    </w:p>
    <w:p w:rsidR="00000000" w:rsidDel="00000000" w:rsidP="00000000" w:rsidRDefault="00000000" w:rsidRPr="00000000" w14:paraId="0000019E">
      <w:pPr>
        <w:spacing w:line="480" w:lineRule="auto"/>
        <w:ind w:left="36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7.</w:t>
      </w:r>
      <w:r w:rsidDel="00000000" w:rsidR="00000000" w:rsidRPr="00000000">
        <w:rPr>
          <w:rFonts w:ascii="Times New Roman" w:cs="Times New Roman" w:eastAsia="Times New Roman" w:hAnsi="Times New Roman"/>
          <w:color w:val="0d0d0d"/>
          <w:sz w:val="14"/>
          <w:szCs w:val="14"/>
          <w:rtl w:val="0"/>
        </w:rPr>
        <w:t xml:space="preserve"> </w:t>
        <w:tab/>
      </w:r>
      <w:r w:rsidDel="00000000" w:rsidR="00000000" w:rsidRPr="00000000">
        <w:rPr>
          <w:rFonts w:ascii="Times New Roman" w:cs="Times New Roman" w:eastAsia="Times New Roman" w:hAnsi="Times New Roman"/>
          <w:color w:val="0d0d0d"/>
          <w:rtl w:val="0"/>
        </w:rPr>
        <w:t xml:space="preserve">Higgins JPT, Green S. BMJ 2019;366: l4898 Cochrane handbook for systematic reviews of interventions, Version 5.0.2 updated September 2009. The Cochrane Collaboration. http://cochrane.org/resources/hand book/.</w:t>
      </w:r>
    </w:p>
    <w:p w:rsidR="00000000" w:rsidDel="00000000" w:rsidP="00000000" w:rsidRDefault="00000000" w:rsidRPr="00000000" w14:paraId="0000019F">
      <w:pPr>
        <w:spacing w:line="480" w:lineRule="auto"/>
        <w:ind w:left="36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8.</w:t>
      </w:r>
      <w:r w:rsidDel="00000000" w:rsidR="00000000" w:rsidRPr="00000000">
        <w:rPr>
          <w:rFonts w:ascii="Times New Roman" w:cs="Times New Roman" w:eastAsia="Times New Roman" w:hAnsi="Times New Roman"/>
          <w:color w:val="0d0d0d"/>
          <w:sz w:val="14"/>
          <w:szCs w:val="14"/>
          <w:rtl w:val="0"/>
        </w:rPr>
        <w:t xml:space="preserve"> </w:t>
        <w:tab/>
      </w:r>
      <w:r w:rsidDel="00000000" w:rsidR="00000000" w:rsidRPr="00000000">
        <w:rPr>
          <w:rFonts w:ascii="Times New Roman" w:cs="Times New Roman" w:eastAsia="Times New Roman" w:hAnsi="Times New Roman"/>
          <w:color w:val="0d0d0d"/>
          <w:rtl w:val="0"/>
        </w:rPr>
        <w:t xml:space="preserve">Colloca L, Ludman T, Bouhassira D, Baron R, Dickenson AH, Yarnitsky D, et al. Neuropathic pain. Nat Rev Dis Primers. 2017; 3:17002.</w:t>
      </w:r>
    </w:p>
    <w:p w:rsidR="00000000" w:rsidDel="00000000" w:rsidP="00000000" w:rsidRDefault="00000000" w:rsidRPr="00000000" w14:paraId="000001A0">
      <w:pPr>
        <w:spacing w:line="480" w:lineRule="auto"/>
        <w:ind w:left="36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9.</w:t>
      </w:r>
      <w:r w:rsidDel="00000000" w:rsidR="00000000" w:rsidRPr="00000000">
        <w:rPr>
          <w:rFonts w:ascii="Times New Roman" w:cs="Times New Roman" w:eastAsia="Times New Roman" w:hAnsi="Times New Roman"/>
          <w:color w:val="0d0d0d"/>
          <w:sz w:val="14"/>
          <w:szCs w:val="14"/>
          <w:rtl w:val="0"/>
        </w:rPr>
        <w:t xml:space="preserve"> </w:t>
        <w:tab/>
      </w:r>
      <w:r w:rsidDel="00000000" w:rsidR="00000000" w:rsidRPr="00000000">
        <w:rPr>
          <w:rFonts w:ascii="Times New Roman" w:cs="Times New Roman" w:eastAsia="Times New Roman" w:hAnsi="Times New Roman"/>
          <w:color w:val="0d0d0d"/>
          <w:rtl w:val="0"/>
        </w:rPr>
        <w:t xml:space="preserve">Finnerup NB, Haroutounian S, Kamerman P, Baron R, Bennett DLH, Bouhassira D, et al. Pharmacotherapy for neuropathic pain in adults: a systematic review and meta-analysis. Lancet Neurol. 2015;14(2):162-173.</w:t>
      </w:r>
    </w:p>
    <w:p w:rsidR="00000000" w:rsidDel="00000000" w:rsidP="00000000" w:rsidRDefault="00000000" w:rsidRPr="00000000" w14:paraId="000001A1">
      <w:pPr>
        <w:spacing w:line="480" w:lineRule="auto"/>
        <w:ind w:left="36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10.</w:t>
      </w: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color w:val="0d0d0d"/>
          <w:rtl w:val="0"/>
        </w:rPr>
        <w:t xml:space="preserve">Treede RD, Jensen TS, Campbell JN, Cruccu G, Dostrovsky JO, Griffin JW, et al. Neuropathic pain: redefinition and a grading system for clinical and research purposes. Neurology. 2008;70(18):1630-1635.</w:t>
      </w:r>
    </w:p>
    <w:p w:rsidR="00000000" w:rsidDel="00000000" w:rsidP="00000000" w:rsidRDefault="00000000" w:rsidRPr="00000000" w14:paraId="000001A2">
      <w:pPr>
        <w:spacing w:line="480" w:lineRule="auto"/>
        <w:ind w:left="36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11.</w:t>
      </w: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color w:val="0d0d0d"/>
          <w:rtl w:val="0"/>
        </w:rPr>
        <w:t xml:space="preserve">Rogawski MA, Tofighy A, White HS, Matagne A, Wolff C. Current understanding of the mechanism of action of the antiepileptic drug lacosamide. Epilepsy Res. 2015; 110:189–205.</w:t>
      </w:r>
    </w:p>
    <w:p w:rsidR="00000000" w:rsidDel="00000000" w:rsidP="00000000" w:rsidRDefault="00000000" w:rsidRPr="00000000" w14:paraId="000001A3">
      <w:pPr>
        <w:spacing w:line="480" w:lineRule="auto"/>
        <w:ind w:left="36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12.</w:t>
      </w: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color w:val="0d0d0d"/>
          <w:rtl w:val="0"/>
        </w:rPr>
        <w:t xml:space="preserve">Lacosamide for neuropathic pain and fibromyalgia in adults. Hearn L, Derry S, Moore RA. </w:t>
      </w:r>
      <w:r w:rsidDel="00000000" w:rsidR="00000000" w:rsidRPr="00000000">
        <w:rPr>
          <w:rFonts w:ascii="Times New Roman" w:cs="Times New Roman" w:eastAsia="Times New Roman" w:hAnsi="Times New Roman"/>
          <w:i w:val="1"/>
          <w:iCs w:val="1"/>
          <w:color w:val="0d0d0d"/>
          <w:rtl w:val="0"/>
        </w:rPr>
        <w:t xml:space="preserve">Cochrane Database Syst Rev</w:t>
      </w:r>
      <w:r w:rsidDel="00000000" w:rsidR="00000000" w:rsidRPr="00000000">
        <w:rPr>
          <w:rFonts w:ascii="Times New Roman" w:cs="Times New Roman" w:eastAsia="Times New Roman" w:hAnsi="Times New Roman"/>
          <w:color w:val="0d0d0d"/>
          <w:rtl w:val="0"/>
        </w:rPr>
        <w:t xml:space="preserve">. 2012;(2):CD009318.</w:t>
      </w:r>
    </w:p>
    <w:p w:rsidR="00000000" w:rsidDel="00000000" w:rsidP="00000000" w:rsidRDefault="00000000" w:rsidRPr="00000000" w14:paraId="000001A4">
      <w:pPr>
        <w:spacing w:line="480" w:lineRule="auto"/>
        <w:ind w:left="36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13.</w:t>
      </w: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color w:val="0d0d0d"/>
          <w:rtl w:val="0"/>
        </w:rPr>
        <w:t xml:space="preserve">Rauck RL, Shaibani A, Biton V, Simpson J, Koch B. Lacosamide in painful diabetic peripheral neuropathy: a phase 2 double-blind placebo-controlled study. Clin J Pain. 2007;23(2):150-158.</w:t>
      </w:r>
    </w:p>
    <w:p w:rsidR="00000000" w:rsidDel="00000000" w:rsidP="00000000" w:rsidRDefault="00000000" w:rsidRPr="00000000" w14:paraId="000001A5">
      <w:pPr>
        <w:spacing w:line="480" w:lineRule="auto"/>
        <w:ind w:left="36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14.</w:t>
      </w: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color w:val="0d0d0d"/>
          <w:rtl w:val="0"/>
        </w:rPr>
        <w:t xml:space="preserve">Wymer JP, Simpson J, Sen D, Bongardt S. Efficacy and safety of lacosamide in painful diabetic neuropathy: a randomized, double-blind, placebo-controlled trial.Clin J Pain. 2009;25(5):376–385. </w:t>
      </w:r>
    </w:p>
    <w:p w:rsidR="00000000" w:rsidDel="00000000" w:rsidP="00000000" w:rsidRDefault="00000000" w:rsidRPr="00000000" w14:paraId="000001A6">
      <w:pPr>
        <w:spacing w:line="480" w:lineRule="auto"/>
        <w:ind w:left="36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15.</w:t>
      </w: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color w:val="0d0d0d"/>
          <w:rtl w:val="0"/>
        </w:rPr>
        <w:t xml:space="preserve">Ziegler D, Hidvegi T, Gurieva I, et al. Efficacy and safety of lacosamide in painful diabetic neuropathy. </w:t>
      </w:r>
      <w:r w:rsidDel="00000000" w:rsidR="00000000" w:rsidRPr="00000000">
        <w:rPr>
          <w:rFonts w:ascii="Times New Roman" w:cs="Times New Roman" w:eastAsia="Times New Roman" w:hAnsi="Times New Roman"/>
          <w:i w:val="1"/>
          <w:iCs w:val="1"/>
          <w:color w:val="0d0d0d"/>
          <w:rtl w:val="0"/>
        </w:rPr>
        <w:t xml:space="preserve">Diabetes Care</w:t>
      </w:r>
      <w:r w:rsidDel="00000000" w:rsidR="00000000" w:rsidRPr="00000000">
        <w:rPr>
          <w:rFonts w:ascii="Times New Roman" w:cs="Times New Roman" w:eastAsia="Times New Roman" w:hAnsi="Times New Roman"/>
          <w:color w:val="0d0d0d"/>
          <w:rtl w:val="0"/>
        </w:rPr>
        <w:t xml:space="preserve">. 2010.</w:t>
      </w:r>
    </w:p>
    <w:p w:rsidR="00000000" w:rsidDel="00000000" w:rsidP="00000000" w:rsidRDefault="00000000" w:rsidRPr="00000000" w14:paraId="000001A7">
      <w:pPr>
        <w:spacing w:line="480" w:lineRule="auto"/>
        <w:ind w:left="36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16.</w:t>
      </w: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color w:val="0d0d0d"/>
          <w:rtl w:val="0"/>
        </w:rPr>
        <w:t xml:space="preserve">Shaibani A, Fares S, Selam JL, et al. Lacosamide in painful diabetic neuropathy: a randomized controlled trial. J Pain. 2009;10(8):818–828.</w:t>
      </w:r>
    </w:p>
    <w:p w:rsidR="00000000" w:rsidDel="00000000" w:rsidP="00000000" w:rsidRDefault="00000000" w:rsidRPr="00000000" w14:paraId="000001A8">
      <w:pPr>
        <w:spacing w:line="480" w:lineRule="auto"/>
        <w:ind w:left="36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17.</w:t>
      </w: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color w:val="0d0d0d"/>
          <w:rtl w:val="0"/>
        </w:rPr>
        <w:t xml:space="preserve">Ben-Menachem E. Lacosamide: an investigational antiepileptic drug for adjunctive treatment of partial-onset seizures. </w:t>
      </w:r>
      <w:r w:rsidDel="00000000" w:rsidR="00000000" w:rsidRPr="00000000">
        <w:rPr>
          <w:rFonts w:ascii="Times New Roman" w:cs="Times New Roman" w:eastAsia="Times New Roman" w:hAnsi="Times New Roman"/>
          <w:b w:val="1"/>
          <w:bCs w:val="1"/>
          <w:color w:val="0d0d0d"/>
          <w:rtl w:val="0"/>
        </w:rPr>
        <w:t xml:space="preserve">Drugs Today (Barc).</w:t>
      </w:r>
      <w:r w:rsidDel="00000000" w:rsidR="00000000" w:rsidRPr="00000000">
        <w:rPr>
          <w:rFonts w:ascii="Times New Roman" w:cs="Times New Roman" w:eastAsia="Times New Roman" w:hAnsi="Times New Roman"/>
          <w:color w:val="0d0d0d"/>
          <w:rtl w:val="0"/>
        </w:rPr>
        <w:t xml:space="preserve"> 2008;44(12):863-874.</w:t>
      </w:r>
    </w:p>
    <w:p w:rsidR="00000000" w:rsidDel="00000000" w:rsidP="00000000" w:rsidRDefault="00000000" w:rsidRPr="00000000" w14:paraId="000001A9">
      <w:pPr>
        <w:spacing w:line="480" w:lineRule="auto"/>
        <w:ind w:left="36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18.</w:t>
      </w: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color w:val="0d0d0d"/>
          <w:rtl w:val="0"/>
        </w:rPr>
        <w:t xml:space="preserve">Beydoun A, D'Souza J. Lacosamide: evidence for efficacy and safety in epilepsy. </w:t>
      </w:r>
      <w:r w:rsidDel="00000000" w:rsidR="00000000" w:rsidRPr="00000000">
        <w:rPr>
          <w:rFonts w:ascii="Times New Roman" w:cs="Times New Roman" w:eastAsia="Times New Roman" w:hAnsi="Times New Roman"/>
          <w:b w:val="1"/>
          <w:bCs w:val="1"/>
          <w:color w:val="0d0d0d"/>
          <w:rtl w:val="0"/>
        </w:rPr>
        <w:t xml:space="preserve">Ther Adv Neurol Disord.</w:t>
      </w:r>
      <w:r w:rsidDel="00000000" w:rsidR="00000000" w:rsidRPr="00000000">
        <w:rPr>
          <w:rFonts w:ascii="Times New Roman" w:cs="Times New Roman" w:eastAsia="Times New Roman" w:hAnsi="Times New Roman"/>
          <w:color w:val="0d0d0d"/>
          <w:rtl w:val="0"/>
        </w:rPr>
        <w:t xml:space="preserve"> 2012;5(6):349-355.</w:t>
      </w:r>
    </w:p>
    <w:p w:rsidR="00000000" w:rsidDel="00000000" w:rsidP="00000000" w:rsidRDefault="00000000" w:rsidRPr="00000000" w14:paraId="000001AA">
      <w:pPr>
        <w:spacing w:line="480" w:lineRule="auto"/>
        <w:ind w:left="360" w:firstLine="0"/>
        <w:rPr>
          <w:rFonts w:ascii="Times New Roman" w:cs="Times New Roman" w:eastAsia="Times New Roman" w:hAnsi="Times New Roman"/>
          <w:color w:val="0d0d0d"/>
        </w:rPr>
      </w:pPr>
      <w:r w:rsidDel="00000000" w:rsidR="00000000" w:rsidRPr="00000000">
        <w:rPr>
          <w:rFonts w:ascii="Times New Roman" w:cs="Times New Roman" w:eastAsia="Times New Roman" w:hAnsi="Times New Roman"/>
          <w:color w:val="0d0d0d"/>
          <w:rtl w:val="0"/>
        </w:rPr>
        <w:t xml:space="preserve">19.</w:t>
      </w:r>
      <w:r w:rsidDel="00000000" w:rsidR="00000000" w:rsidRPr="00000000">
        <w:rPr>
          <w:rFonts w:ascii="Times New Roman" w:cs="Times New Roman" w:eastAsia="Times New Roman" w:hAnsi="Times New Roman"/>
          <w:color w:val="0d0d0d"/>
          <w:sz w:val="14"/>
          <w:szCs w:val="14"/>
          <w:rtl w:val="0"/>
        </w:rPr>
        <w:t xml:space="preserve">  </w:t>
      </w:r>
      <w:r w:rsidDel="00000000" w:rsidR="00000000" w:rsidRPr="00000000">
        <w:rPr>
          <w:rFonts w:ascii="Times New Roman" w:cs="Times New Roman" w:eastAsia="Times New Roman" w:hAnsi="Times New Roman"/>
          <w:color w:val="0d0d0d"/>
          <w:rtl w:val="0"/>
        </w:rPr>
        <w:t xml:space="preserve">Beyreuther BK, Freitag J, Heers C, Krebsfänger N, Scharfenecker U, Stöhr T. Lacosamide: a review of preclinical properties. </w:t>
      </w:r>
      <w:r w:rsidDel="00000000" w:rsidR="00000000" w:rsidRPr="00000000">
        <w:rPr>
          <w:rFonts w:ascii="Times New Roman" w:cs="Times New Roman" w:eastAsia="Times New Roman" w:hAnsi="Times New Roman"/>
          <w:b w:val="1"/>
          <w:bCs w:val="1"/>
          <w:color w:val="0d0d0d"/>
          <w:rtl w:val="0"/>
        </w:rPr>
        <w:t xml:space="preserve">CNS Drug Rev.</w:t>
      </w:r>
      <w:r w:rsidDel="00000000" w:rsidR="00000000" w:rsidRPr="00000000">
        <w:rPr>
          <w:rFonts w:ascii="Times New Roman" w:cs="Times New Roman" w:eastAsia="Times New Roman" w:hAnsi="Times New Roman"/>
          <w:color w:val="0d0d0d"/>
          <w:rtl w:val="0"/>
        </w:rPr>
        <w:t xml:space="preserve"> 2007;13(1):21-42.</w:t>
      </w:r>
    </w:p>
    <w:p w:rsidR="00000000" w:rsidDel="00000000" w:rsidP="00000000" w:rsidRDefault="00000000" w:rsidRPr="00000000" w14:paraId="000001AB">
      <w:pPr>
        <w:spacing w:line="480" w:lineRule="auto"/>
        <w:ind w:left="360" w:firstLine="0"/>
        <w:rPr>
          <w:rFonts w:ascii="Times New Roman" w:cs="Times New Roman" w:eastAsia="Times New Roman" w:hAnsi="Times New Roman"/>
          <w:b w:val="1"/>
          <w:bCs w:val="1"/>
          <w:color w:val="0d0d0d"/>
          <w:sz w:val="32"/>
          <w:szCs w:val="32"/>
        </w:rPr>
      </w:pPr>
      <w:r w:rsidDel="00000000" w:rsidR="00000000" w:rsidRPr="00000000">
        <w:rPr>
          <w:rFonts w:ascii="Times New Roman" w:cs="Times New Roman" w:eastAsia="Times New Roman" w:hAnsi="Times New Roman"/>
          <w:b w:val="1"/>
          <w:bCs w:val="1"/>
          <w:color w:val="0d0d0d"/>
          <w:sz w:val="32"/>
          <w:szCs w:val="32"/>
          <w:rtl w:val="0"/>
        </w:rPr>
        <w:t xml:space="preserve"> </w:t>
      </w:r>
    </w:p>
    <w:p w:rsidR="00000000" w:rsidDel="00000000" w:rsidP="00000000" w:rsidRDefault="00000000" w:rsidRPr="00000000" w14:paraId="000001AC">
      <w:pPr>
        <w:spacing w:line="480" w:lineRule="auto"/>
        <w:jc w:val="center"/>
        <w:rPr>
          <w:rFonts w:ascii="Times New Roman" w:cs="Times New Roman" w:eastAsia="Times New Roman" w:hAnsi="Times New Roman"/>
          <w:b w:val="1"/>
          <w:bCs w:val="1"/>
          <w:color w:val="0d0d0d"/>
          <w:sz w:val="32"/>
          <w:szCs w:val="32"/>
        </w:rPr>
      </w:pPr>
      <w:r w:rsidDel="00000000" w:rsidR="00000000" w:rsidRPr="00000000">
        <w:rPr>
          <w:rFonts w:ascii="Times New Roman" w:cs="Times New Roman" w:eastAsia="Times New Roman" w:hAnsi="Times New Roman"/>
          <w:b w:val="1"/>
          <w:bCs w:val="1"/>
          <w:color w:val="0d0d0d"/>
          <w:sz w:val="32"/>
          <w:szCs w:val="32"/>
          <w:rtl w:val="0"/>
        </w:rPr>
        <w:t xml:space="preserve">SUPPLEMENTARY FIGURE</w:t>
      </w:r>
    </w:p>
    <w:p w:rsidR="00000000" w:rsidDel="00000000" w:rsidP="00000000" w:rsidRDefault="00000000" w:rsidRPr="00000000" w14:paraId="000001AD">
      <w:pPr>
        <w:spacing w:line="480" w:lineRule="auto"/>
        <w:rPr>
          <w:rFonts w:ascii="Times New Roman" w:cs="Times New Roman" w:eastAsia="Times New Roman" w:hAnsi="Times New Roman"/>
          <w:b w:val="1"/>
          <w:bCs w:val="1"/>
          <w:color w:val="0d0d0d"/>
          <w:sz w:val="32"/>
          <w:szCs w:val="32"/>
        </w:rPr>
      </w:pPr>
      <w:r w:rsidDel="00000000" w:rsidR="00000000" w:rsidRPr="00000000">
        <w:rPr>
          <w:rFonts w:ascii="Times New Roman" w:cs="Times New Roman" w:eastAsia="Times New Roman" w:hAnsi="Times New Roman"/>
          <w:b w:val="1"/>
          <w:bCs w:val="1"/>
          <w:color w:val="0d0d0d"/>
          <w:sz w:val="32"/>
          <w:szCs w:val="32"/>
          <w:rtl w:val="0"/>
        </w:rPr>
        <w:t xml:space="preserve">Figure 1</w:t>
      </w:r>
    </w:p>
    <w:p w:rsidR="00000000" w:rsidDel="00000000" w:rsidP="00000000" w:rsidRDefault="00000000" w:rsidRPr="00000000" w14:paraId="000001AE">
      <w:pPr>
        <w:spacing w:line="480" w:lineRule="auto"/>
        <w:rPr>
          <w:rFonts w:ascii="Times New Roman" w:cs="Times New Roman" w:eastAsia="Times New Roman" w:hAnsi="Times New Roman"/>
          <w:b w:val="1"/>
          <w:bCs w:val="1"/>
          <w:color w:val="0d0d0d"/>
          <w:sz w:val="32"/>
          <w:szCs w:val="32"/>
        </w:rPr>
      </w:pPr>
      <w:r w:rsidDel="00000000" w:rsidR="00000000" w:rsidRPr="00000000">
        <w:rPr>
          <w:rFonts w:ascii="Times New Roman" w:cs="Times New Roman" w:eastAsia="Times New Roman" w:hAnsi="Times New Roman"/>
          <w:b w:val="1"/>
          <w:bCs w:val="1"/>
          <w:color w:val="0d0d0d"/>
          <w:sz w:val="32"/>
          <w:szCs w:val="32"/>
        </w:rPr>
        <w:drawing>
          <wp:inline distB="114300" distT="114300" distL="114300" distR="114300">
            <wp:extent cx="5731200" cy="4343400"/>
            <wp:effectExtent b="0" l="0" r="0" t="0"/>
            <wp:docPr id="2" name="image1.png"/>
            <a:graphic>
              <a:graphicData uri="http://schemas.openxmlformats.org/drawingml/2006/picture">
                <pic:pic>
                  <pic:nvPicPr>
                    <pic:cNvPr id="0" name="image1.png"/>
                    <pic:cNvPicPr preferRelativeResize="0"/>
                  </pic:nvPicPr>
                  <pic:blipFill>
                    <a:blip r:embed="rId25"/>
                    <a:srcRect b="0" l="0" r="0" t="0"/>
                    <a:stretch>
                      <a:fillRect/>
                    </a:stretch>
                  </pic:blipFill>
                  <pic:spPr>
                    <a:xfrm>
                      <a:off x="0" y="0"/>
                      <a:ext cx="5731200" cy="4343400"/>
                    </a:xfrm>
                    <a:prstGeom prst="rect"/>
                    <a:ln/>
                  </pic:spPr>
                </pic:pic>
              </a:graphicData>
            </a:graphic>
          </wp:inline>
        </w:drawing>
      </w:r>
      <w:r w:rsidDel="00000000" w:rsidR="00000000" w:rsidRPr="00000000">
        <w:rPr>
          <w:rtl w:val="0"/>
        </w:rPr>
      </w:r>
    </w:p>
    <w:p w:rsidR="00000000" w:rsidDel="00000000" w:rsidP="00000000" w:rsidRDefault="00000000" w:rsidRPr="00000000" w14:paraId="000001AF">
      <w:pPr>
        <w:spacing w:line="480" w:lineRule="auto"/>
        <w:rPr>
          <w:rFonts w:ascii="Times New Roman" w:cs="Times New Roman" w:eastAsia="Times New Roman" w:hAnsi="Times New Roman"/>
          <w:color w:val="0d0d0d"/>
          <w:sz w:val="20"/>
          <w:szCs w:val="20"/>
        </w:rPr>
      </w:pPr>
      <w:r w:rsidDel="00000000" w:rsidR="00000000" w:rsidRPr="00000000">
        <w:rPr>
          <w:rFonts w:ascii="Times New Roman" w:cs="Times New Roman" w:eastAsia="Times New Roman" w:hAnsi="Times New Roman"/>
          <w:color w:val="0d0d0d"/>
          <w:sz w:val="20"/>
          <w:szCs w:val="20"/>
          <w:rtl w:val="0"/>
        </w:rPr>
        <w:t xml:space="preserve"> </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B2">
      <w:pPr>
        <w:rPr/>
      </w:pPr>
      <w:r w:rsidDel="00000000" w:rsidR="00000000" w:rsidRPr="00000000">
        <w:rPr>
          <w:rtl w:val="0"/>
        </w:rPr>
        <w:t xml:space="preserve"> </w:t>
      </w:r>
    </w:p>
    <w:p w:rsidR="00000000" w:rsidDel="00000000" w:rsidP="00000000" w:rsidRDefault="00000000" w:rsidRPr="00000000" w14:paraId="000001B3">
      <w:pPr>
        <w:rPr>
          <w:rFonts w:ascii="Times New Roman" w:cs="Times New Roman" w:eastAsia="Times New Roman" w:hAnsi="Times New Roman"/>
          <w:b w:val="1"/>
          <w:bCs w:val="1"/>
          <w:sz w:val="32"/>
          <w:szCs w:val="32"/>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2.png"/><Relationship Id="rId22" Type="http://schemas.openxmlformats.org/officeDocument/2006/relationships/hyperlink" Target="https://pmc.ncbi.nlm.nih.gov/articles/PMC2714672/" TargetMode="External"/><Relationship Id="rId21" Type="http://schemas.openxmlformats.org/officeDocument/2006/relationships/hyperlink" Target="https://doi.org/10.1136/bmj.b2700" TargetMode="External"/><Relationship Id="rId24" Type="http://schemas.openxmlformats.org/officeDocument/2006/relationships/hyperlink" Target="https://scholar.google.com/scholar_lookup?journal=BMJ&amp;title=The%20PRISMA%20statement%20for%20reporting%20systematic%20reviews%20and%20meta-analyses%20of%20studies%20that%20evaluate%20healthcare%20interventions:%20explanation%20and%20elaboration&amp;author=A.%20Liberati&amp;author=D.%20Altman&amp;author=J.%20Tetzlaff&amp;volume=21&amp;publication_year=2009&amp;pmid=19622552&amp;doi=10.1136/bmj.b2700&amp;" TargetMode="External"/><Relationship Id="rId23" Type="http://schemas.openxmlformats.org/officeDocument/2006/relationships/hyperlink" Target="https://pubmed.ncbi.nlm.nih.gov/19622552/"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emanf7655@gmail.com" TargetMode="External"/><Relationship Id="rId25" Type="http://schemas.openxmlformats.org/officeDocument/2006/relationships/image" Target="media/image1.png"/><Relationship Id="rId5" Type="http://schemas.openxmlformats.org/officeDocument/2006/relationships/styles" Target="styles.xml"/><Relationship Id="rId6" Type="http://schemas.openxmlformats.org/officeDocument/2006/relationships/hyperlink" Target="mailto:faisalmuzaffar35@gmail.com" TargetMode="External"/><Relationship Id="rId7" Type="http://schemas.openxmlformats.org/officeDocument/2006/relationships/hyperlink" Target="mailto:preetiadvani65@gmail.com" TargetMode="External"/><Relationship Id="rId8" Type="http://schemas.openxmlformats.org/officeDocument/2006/relationships/hyperlink" Target="mailto:Medwoode@gmail.com" TargetMode="External"/><Relationship Id="rId11" Type="http://schemas.openxmlformats.org/officeDocument/2006/relationships/hyperlink" Target="mailto:srshouq70@gmail.com" TargetMode="External"/><Relationship Id="rId10" Type="http://schemas.openxmlformats.org/officeDocument/2006/relationships/hyperlink" Target="mailto:abubakerrafique79@gmail.com" TargetMode="External"/><Relationship Id="rId13" Type="http://schemas.openxmlformats.org/officeDocument/2006/relationships/hyperlink" Target="mailto:nehamehmood01@gmail.com" TargetMode="External"/><Relationship Id="rId12" Type="http://schemas.openxmlformats.org/officeDocument/2006/relationships/hyperlink" Target="mailto:alishbanadeem017@gmail.com" TargetMode="External"/><Relationship Id="rId15" Type="http://schemas.openxmlformats.org/officeDocument/2006/relationships/hyperlink" Target="mailto:samannajib18@gmail.com" TargetMode="External"/><Relationship Id="rId14" Type="http://schemas.openxmlformats.org/officeDocument/2006/relationships/hyperlink" Target="mailto:raohanzla@gmail.com" TargetMode="External"/><Relationship Id="rId17" Type="http://schemas.openxmlformats.org/officeDocument/2006/relationships/hyperlink" Target="mailto:farahmunir879@gmail.com" TargetMode="External"/><Relationship Id="rId16" Type="http://schemas.openxmlformats.org/officeDocument/2006/relationships/hyperlink" Target="mailto:hiratanveers1792002@icloud.com" TargetMode="External"/><Relationship Id="rId19" Type="http://schemas.openxmlformats.org/officeDocument/2006/relationships/hyperlink" Target="mailto:dr.rayaangul@gmail.com" TargetMode="External"/><Relationship Id="rId18" Type="http://schemas.openxmlformats.org/officeDocument/2006/relationships/hyperlink" Target="mailto:zain37569@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