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568D" w:rsidP="024BBEEE" w:rsidRDefault="00000000" w14:paraId="2F8DD000" w14:textId="77777777">
      <w:pPr>
        <w:spacing w:after="240"/>
        <w:jc w:val="center"/>
      </w:pPr>
      <w:r w:rsidRPr="024BBEEE" w:rsidR="0C3E8167">
        <w:rPr>
          <w:b w:val="1"/>
          <w:bCs w:val="1"/>
          <w:sz w:val="24"/>
          <w:szCs w:val="24"/>
        </w:rPr>
        <w:t>Advancing Cardiac MRI: Tissue Characterization in Cardiomyopathy, Cardiac Masses, and Congenital Heart Disease</w:t>
      </w:r>
    </w:p>
    <w:p w:rsidR="0069568D" w:rsidP="024BBEEE" w:rsidRDefault="00000000" w14:paraId="6E714E90" w14:textId="00120193">
      <w:pPr>
        <w:pStyle w:val="Normal"/>
        <w:spacing w:before="240" w:after="120"/>
      </w:pPr>
      <w:r w:rsidRPr="024BBEEE" w:rsidR="0C3E8167">
        <w:rPr>
          <w:b w:val="1"/>
          <w:bCs w:val="1"/>
          <w:sz w:val="24"/>
          <w:szCs w:val="24"/>
        </w:rPr>
        <w:t>Learning Objectives</w:t>
      </w:r>
    </w:p>
    <w:p w:rsidR="0069568D" w:rsidRDefault="00000000" w14:paraId="0BDFDDDB" w14:textId="77777777">
      <w:pPr>
        <w:pStyle w:val="ListParagraph"/>
        <w:numPr>
          <w:ilvl w:val="0"/>
          <w:numId w:val="2"/>
        </w:numPr>
        <w:spacing w:after="80" w:line="276" w:lineRule="auto"/>
      </w:pPr>
      <w:r>
        <w:t>Apply optimized cardiac MRI (CMR) protocols and tissue-characterization techniques — including late gadolinium enhancement and parametric mapping — to evaluate hypertrophic cardiomyopathy and differentiate phenocopies.</w:t>
      </w:r>
    </w:p>
    <w:p w:rsidR="0069568D" w:rsidRDefault="00000000" w14:paraId="264ED1A2" w14:textId="77777777">
      <w:pPr>
        <w:pStyle w:val="ListParagraph"/>
        <w:numPr>
          <w:ilvl w:val="0"/>
          <w:numId w:val="2"/>
        </w:numPr>
        <w:spacing w:after="80" w:line="276" w:lineRule="auto"/>
      </w:pPr>
      <w:r>
        <w:t>Characterize cardiac masses using CMR tissue characterization to distinguish tumor, thrombus, and benign from malignant lesions.</w:t>
      </w:r>
    </w:p>
    <w:p w:rsidR="0069568D" w:rsidRDefault="00000000" w14:paraId="38CCFABC" w14:textId="77777777">
      <w:pPr>
        <w:pStyle w:val="ListParagraph"/>
        <w:numPr>
          <w:ilvl w:val="0"/>
          <w:numId w:val="2"/>
        </w:numPr>
        <w:spacing w:after="80" w:line="276" w:lineRule="auto"/>
      </w:pPr>
      <w:r>
        <w:t>Apply CMR to the assessment of congenital heart disease, including anatomy, function, and flow quantification.</w:t>
      </w:r>
    </w:p>
    <w:p w:rsidR="0069568D" w:rsidRDefault="0069568D" w14:paraId="2ABBD1B2" w14:textId="77777777">
      <w:pPr>
        <w:spacing w:after="120"/>
      </w:pPr>
    </w:p>
    <w:tbl>
      <w:tblPr>
        <w:tblW w:w="9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 w:type="dxa"/>
          <w:right w:w="10" w:type="dxa"/>
        </w:tblCellMar>
        <w:tblLook w:val="04A0" w:firstRow="1" w:lastRow="0" w:firstColumn="1" w:lastColumn="0" w:noHBand="0" w:noVBand="1"/>
      </w:tblPr>
      <w:tblGrid>
        <w:gridCol w:w="3120"/>
        <w:gridCol w:w="3120"/>
        <w:gridCol w:w="3120"/>
      </w:tblGrid>
      <w:tr w:rsidR="0069568D" w14:paraId="775884C1" w14:textId="77777777">
        <w:tblPrEx>
          <w:tblCellMar>
            <w:top w:w="0" w:type="dxa"/>
            <w:bottom w:w="0" w:type="dxa"/>
          </w:tblCellMar>
        </w:tblPrEx>
        <w:tc>
          <w:tcPr>
            <w:tcW w:w="9360" w:type="dxa"/>
            <w:gridSpan w:val="3"/>
            <w:tcMar>
              <w:top w:w="80" w:type="dxa"/>
              <w:left w:w="100" w:type="dxa"/>
              <w:bottom w:w="80" w:type="dxa"/>
              <w:right w:w="100" w:type="dxa"/>
            </w:tcMar>
          </w:tcPr>
          <w:p w:rsidR="0069568D" w:rsidRDefault="00000000" w14:paraId="02685383" w14:textId="77777777">
            <w:pPr>
              <w:spacing w:after="60" w:line="264" w:lineRule="auto"/>
            </w:pPr>
            <w:r>
              <w:rPr>
                <w:b/>
                <w:bCs/>
                <w:sz w:val="20"/>
                <w:szCs w:val="20"/>
              </w:rPr>
              <w:t xml:space="preserve">Clinical Practice Gap 1: </w:t>
            </w:r>
            <w:r>
              <w:rPr>
                <w:sz w:val="20"/>
                <w:szCs w:val="20"/>
              </w:rPr>
              <w:t>Radiologists demonstrate variability in the use of optimized CMR protocols and tissue-characterization techniques for cardiomyopathy. Despite CMR's now-central role in hypertrophic cardiomyopathy (HCM) — including a Class 1 recommendation for sudden-cardiac-death risk stratification in the 2024 HCM guideline — many radiologists are not proficient in late gadolinium enhancement (LGE) quantification, parametric mapping, or the differentiation of HCM phenocopies.</w:t>
            </w:r>
          </w:p>
        </w:tc>
      </w:tr>
      <w:tr w:rsidR="0069568D" w14:paraId="79B56CB4" w14:textId="77777777">
        <w:tblPrEx>
          <w:tblCellMar>
            <w:top w:w="0" w:type="dxa"/>
            <w:bottom w:w="0" w:type="dxa"/>
          </w:tblCellMar>
        </w:tblPrEx>
        <w:tc>
          <w:tcPr>
            <w:tcW w:w="3120" w:type="dxa"/>
            <w:tcMar>
              <w:top w:w="80" w:type="dxa"/>
              <w:left w:w="100" w:type="dxa"/>
              <w:bottom w:w="80" w:type="dxa"/>
              <w:right w:w="100" w:type="dxa"/>
            </w:tcMar>
          </w:tcPr>
          <w:p w:rsidR="0069568D" w:rsidRDefault="00000000" w14:paraId="19E9DADA" w14:textId="77777777">
            <w:pPr>
              <w:spacing w:after="60" w:line="264" w:lineRule="auto"/>
            </w:pPr>
            <w:r>
              <w:rPr>
                <w:b/>
                <w:bCs/>
                <w:sz w:val="20"/>
                <w:szCs w:val="20"/>
              </w:rPr>
              <w:t>Educational Need</w:t>
            </w:r>
          </w:p>
        </w:tc>
        <w:tc>
          <w:tcPr>
            <w:tcW w:w="3120" w:type="dxa"/>
            <w:tcMar>
              <w:top w:w="80" w:type="dxa"/>
              <w:left w:w="100" w:type="dxa"/>
              <w:bottom w:w="80" w:type="dxa"/>
              <w:right w:w="100" w:type="dxa"/>
            </w:tcMar>
          </w:tcPr>
          <w:p w:rsidR="0069568D" w:rsidRDefault="00000000" w14:paraId="3B7D959E" w14:textId="77777777">
            <w:pPr>
              <w:spacing w:after="60" w:line="264" w:lineRule="auto"/>
            </w:pPr>
            <w:r>
              <w:rPr>
                <w:b/>
                <w:bCs/>
                <w:sz w:val="20"/>
                <w:szCs w:val="20"/>
              </w:rPr>
              <w:t>Learning Objectives</w:t>
            </w:r>
          </w:p>
        </w:tc>
        <w:tc>
          <w:tcPr>
            <w:tcW w:w="3120" w:type="dxa"/>
            <w:tcMar>
              <w:top w:w="80" w:type="dxa"/>
              <w:left w:w="100" w:type="dxa"/>
              <w:bottom w:w="80" w:type="dxa"/>
              <w:right w:w="100" w:type="dxa"/>
            </w:tcMar>
          </w:tcPr>
          <w:p w:rsidR="0069568D" w:rsidRDefault="00000000" w14:paraId="5BE19F9F" w14:textId="77777777">
            <w:pPr>
              <w:spacing w:after="60" w:line="264" w:lineRule="auto"/>
            </w:pPr>
            <w:r>
              <w:rPr>
                <w:b/>
                <w:bCs/>
                <w:sz w:val="20"/>
                <w:szCs w:val="20"/>
              </w:rPr>
              <w:t>Outcomes Measurement</w:t>
            </w:r>
          </w:p>
        </w:tc>
      </w:tr>
      <w:tr w:rsidR="0069568D" w14:paraId="3D8B1496" w14:textId="77777777">
        <w:tblPrEx>
          <w:tblCellMar>
            <w:top w:w="0" w:type="dxa"/>
            <w:bottom w:w="0" w:type="dxa"/>
          </w:tblCellMar>
        </w:tblPrEx>
        <w:tc>
          <w:tcPr>
            <w:tcW w:w="3120" w:type="dxa"/>
            <w:tcMar>
              <w:top w:w="80" w:type="dxa"/>
              <w:left w:w="100" w:type="dxa"/>
              <w:bottom w:w="80" w:type="dxa"/>
              <w:right w:w="100" w:type="dxa"/>
            </w:tcMar>
          </w:tcPr>
          <w:p w:rsidR="0069568D" w:rsidRDefault="00000000" w14:paraId="40181C58" w14:textId="77777777">
            <w:pPr>
              <w:spacing w:after="60" w:line="264" w:lineRule="auto"/>
            </w:pPr>
            <w:r>
              <w:rPr>
                <w:sz w:val="20"/>
                <w:szCs w:val="20"/>
              </w:rPr>
              <w:t>Radiologists need case-based education on optimized CMR protocols and tissue characterization for cardiomyopathy, including HCM assessment and phenocopy differentiation.</w:t>
            </w:r>
          </w:p>
        </w:tc>
        <w:tc>
          <w:tcPr>
            <w:tcW w:w="3120" w:type="dxa"/>
            <w:tcMar>
              <w:top w:w="80" w:type="dxa"/>
              <w:left w:w="100" w:type="dxa"/>
              <w:bottom w:w="80" w:type="dxa"/>
              <w:right w:w="100" w:type="dxa"/>
            </w:tcMar>
          </w:tcPr>
          <w:p w:rsidR="0069568D" w:rsidRDefault="00000000" w14:paraId="7804259F" w14:textId="77777777">
            <w:pPr>
              <w:spacing w:after="60" w:line="264" w:lineRule="auto"/>
            </w:pPr>
            <w:r>
              <w:rPr>
                <w:sz w:val="20"/>
                <w:szCs w:val="20"/>
              </w:rPr>
              <w:t>- Apply LGE and parametric mapping to evaluate cardiomyopathy.</w:t>
            </w:r>
          </w:p>
          <w:p w:rsidR="0069568D" w:rsidRDefault="00000000" w14:paraId="522433CE" w14:textId="77777777">
            <w:pPr>
              <w:spacing w:after="60" w:line="264" w:lineRule="auto"/>
            </w:pPr>
            <w:r>
              <w:rPr>
                <w:sz w:val="20"/>
                <w:szCs w:val="20"/>
              </w:rPr>
              <w:t>- Differentiate HCM from phenocopies such as amyloidosis and Fabry disease.</w:t>
            </w:r>
          </w:p>
        </w:tc>
        <w:tc>
          <w:tcPr>
            <w:tcW w:w="3120" w:type="dxa"/>
            <w:tcMar>
              <w:top w:w="80" w:type="dxa"/>
              <w:left w:w="100" w:type="dxa"/>
              <w:bottom w:w="80" w:type="dxa"/>
              <w:right w:w="100" w:type="dxa"/>
            </w:tcMar>
          </w:tcPr>
          <w:p w:rsidR="0069568D" w:rsidRDefault="00000000" w14:paraId="51E4472B" w14:textId="77777777">
            <w:pPr>
              <w:spacing w:after="60" w:line="264" w:lineRule="auto"/>
            </w:pPr>
            <w:r>
              <w:rPr>
                <w:sz w:val="20"/>
                <w:szCs w:val="20"/>
              </w:rPr>
              <w:t>Level 3 (knowledge) / Level 4 (competence): Case-based multiple-choice questions and interactive assessment of CMR tissue characterization and cardiomyopathy differentiation.</w:t>
            </w:r>
          </w:p>
        </w:tc>
      </w:tr>
      <w:tr w:rsidR="0069568D" w14:paraId="22C7F642" w14:textId="77777777">
        <w:tblPrEx>
          <w:tblCellMar>
            <w:top w:w="0" w:type="dxa"/>
            <w:bottom w:w="0" w:type="dxa"/>
          </w:tblCellMar>
        </w:tblPrEx>
        <w:tc>
          <w:tcPr>
            <w:tcW w:w="9360" w:type="dxa"/>
            <w:gridSpan w:val="3"/>
            <w:tcMar>
              <w:top w:w="80" w:type="dxa"/>
              <w:left w:w="100" w:type="dxa"/>
              <w:bottom w:w="80" w:type="dxa"/>
              <w:right w:w="100" w:type="dxa"/>
            </w:tcMar>
          </w:tcPr>
          <w:p w:rsidR="0069568D" w:rsidRDefault="00000000" w14:paraId="1BA1A1C6" w14:textId="77777777">
            <w:pPr>
              <w:spacing w:after="60" w:line="264" w:lineRule="auto"/>
            </w:pPr>
            <w:r>
              <w:rPr>
                <w:b/>
                <w:bCs/>
                <w:sz w:val="20"/>
                <w:szCs w:val="20"/>
              </w:rPr>
              <w:t xml:space="preserve">Clinical Practice Gap 2: </w:t>
            </w:r>
            <w:r>
              <w:rPr>
                <w:sz w:val="20"/>
                <w:szCs w:val="20"/>
              </w:rPr>
              <w:t>There is a significant gap in radiologists' ability to characterize cardiac masses using CMR. Distinguishing tumor from thrombus and benign from malignant lesions requires a systematic, multi-sequence tissue-characterization approach that is frequently under-taught, leading to under-utilization and misclassification.</w:t>
            </w:r>
          </w:p>
        </w:tc>
      </w:tr>
      <w:tr w:rsidR="0069568D" w14:paraId="5EF515A6" w14:textId="77777777">
        <w:tblPrEx>
          <w:tblCellMar>
            <w:top w:w="0" w:type="dxa"/>
            <w:bottom w:w="0" w:type="dxa"/>
          </w:tblCellMar>
        </w:tblPrEx>
        <w:tc>
          <w:tcPr>
            <w:tcW w:w="3120" w:type="dxa"/>
            <w:tcMar>
              <w:top w:w="80" w:type="dxa"/>
              <w:left w:w="100" w:type="dxa"/>
              <w:bottom w:w="80" w:type="dxa"/>
              <w:right w:w="100" w:type="dxa"/>
            </w:tcMar>
          </w:tcPr>
          <w:p w:rsidR="0069568D" w:rsidRDefault="00000000" w14:paraId="6C3F06D5" w14:textId="77777777">
            <w:pPr>
              <w:spacing w:after="60" w:line="264" w:lineRule="auto"/>
            </w:pPr>
            <w:r>
              <w:rPr>
                <w:b/>
                <w:bCs/>
                <w:sz w:val="20"/>
                <w:szCs w:val="20"/>
              </w:rPr>
              <w:t>Educational Need</w:t>
            </w:r>
          </w:p>
        </w:tc>
        <w:tc>
          <w:tcPr>
            <w:tcW w:w="3120" w:type="dxa"/>
            <w:tcMar>
              <w:top w:w="80" w:type="dxa"/>
              <w:left w:w="100" w:type="dxa"/>
              <w:bottom w:w="80" w:type="dxa"/>
              <w:right w:w="100" w:type="dxa"/>
            </w:tcMar>
          </w:tcPr>
          <w:p w:rsidR="0069568D" w:rsidRDefault="00000000" w14:paraId="48F616CF" w14:textId="77777777">
            <w:pPr>
              <w:spacing w:after="60" w:line="264" w:lineRule="auto"/>
            </w:pPr>
            <w:r>
              <w:rPr>
                <w:b/>
                <w:bCs/>
                <w:sz w:val="20"/>
                <w:szCs w:val="20"/>
              </w:rPr>
              <w:t>Learning Objectives</w:t>
            </w:r>
          </w:p>
        </w:tc>
        <w:tc>
          <w:tcPr>
            <w:tcW w:w="3120" w:type="dxa"/>
            <w:tcMar>
              <w:top w:w="80" w:type="dxa"/>
              <w:left w:w="100" w:type="dxa"/>
              <w:bottom w:w="80" w:type="dxa"/>
              <w:right w:w="100" w:type="dxa"/>
            </w:tcMar>
          </w:tcPr>
          <w:p w:rsidR="0069568D" w:rsidRDefault="00000000" w14:paraId="23D5DFBD" w14:textId="77777777">
            <w:pPr>
              <w:spacing w:after="60" w:line="264" w:lineRule="auto"/>
            </w:pPr>
            <w:r>
              <w:rPr>
                <w:b/>
                <w:bCs/>
                <w:sz w:val="20"/>
                <w:szCs w:val="20"/>
              </w:rPr>
              <w:t>Outcomes Measurement</w:t>
            </w:r>
          </w:p>
        </w:tc>
      </w:tr>
      <w:tr w:rsidR="0069568D" w14:paraId="0C6AC3F0" w14:textId="77777777">
        <w:tblPrEx>
          <w:tblCellMar>
            <w:top w:w="0" w:type="dxa"/>
            <w:bottom w:w="0" w:type="dxa"/>
          </w:tblCellMar>
        </w:tblPrEx>
        <w:tc>
          <w:tcPr>
            <w:tcW w:w="3120" w:type="dxa"/>
            <w:tcMar>
              <w:top w:w="80" w:type="dxa"/>
              <w:left w:w="100" w:type="dxa"/>
              <w:bottom w:w="80" w:type="dxa"/>
              <w:right w:w="100" w:type="dxa"/>
            </w:tcMar>
          </w:tcPr>
          <w:p w:rsidR="0069568D" w:rsidRDefault="00000000" w14:paraId="7B4C5FC9" w14:textId="77777777">
            <w:pPr>
              <w:spacing w:after="60" w:line="264" w:lineRule="auto"/>
            </w:pPr>
            <w:r>
              <w:rPr>
                <w:sz w:val="20"/>
                <w:szCs w:val="20"/>
              </w:rPr>
              <w:t>Radiologists require education on a systematic CMR tissue-characterization approach to cardiac masses.</w:t>
            </w:r>
          </w:p>
        </w:tc>
        <w:tc>
          <w:tcPr>
            <w:tcW w:w="3120" w:type="dxa"/>
            <w:tcMar>
              <w:top w:w="80" w:type="dxa"/>
              <w:left w:w="100" w:type="dxa"/>
              <w:bottom w:w="80" w:type="dxa"/>
              <w:right w:w="100" w:type="dxa"/>
            </w:tcMar>
          </w:tcPr>
          <w:p w:rsidR="0069568D" w:rsidRDefault="00000000" w14:paraId="3C03A418" w14:textId="77777777">
            <w:pPr>
              <w:spacing w:after="60" w:line="264" w:lineRule="auto"/>
            </w:pPr>
            <w:r>
              <w:rPr>
                <w:sz w:val="20"/>
                <w:szCs w:val="20"/>
              </w:rPr>
              <w:t>- Apply multi-sequence CMR to characterize cardiac masses.</w:t>
            </w:r>
          </w:p>
          <w:p w:rsidR="0069568D" w:rsidRDefault="00000000" w14:paraId="72BB1325" w14:textId="77777777">
            <w:pPr>
              <w:spacing w:after="60" w:line="264" w:lineRule="auto"/>
            </w:pPr>
            <w:r>
              <w:rPr>
                <w:sz w:val="20"/>
                <w:szCs w:val="20"/>
              </w:rPr>
              <w:t>- Distinguish tumor from thrombus and benign from malignant lesions.</w:t>
            </w:r>
          </w:p>
        </w:tc>
        <w:tc>
          <w:tcPr>
            <w:tcW w:w="3120" w:type="dxa"/>
            <w:tcMar>
              <w:top w:w="80" w:type="dxa"/>
              <w:left w:w="100" w:type="dxa"/>
              <w:bottom w:w="80" w:type="dxa"/>
              <w:right w:w="100" w:type="dxa"/>
            </w:tcMar>
          </w:tcPr>
          <w:p w:rsidR="0069568D" w:rsidRDefault="00000000" w14:paraId="0DDA57E6" w14:textId="77777777">
            <w:pPr>
              <w:spacing w:after="60" w:line="264" w:lineRule="auto"/>
            </w:pPr>
            <w:r>
              <w:rPr>
                <w:sz w:val="20"/>
                <w:szCs w:val="20"/>
              </w:rPr>
              <w:t>Level 4 (competence): Case-based multiple-choice questions and interactive discussion assessing cardiac-mass characterization.</w:t>
            </w:r>
          </w:p>
        </w:tc>
      </w:tr>
      <w:tr w:rsidR="0069568D" w14:paraId="42225C37" w14:textId="77777777">
        <w:tblPrEx>
          <w:tblCellMar>
            <w:top w:w="0" w:type="dxa"/>
            <w:bottom w:w="0" w:type="dxa"/>
          </w:tblCellMar>
        </w:tblPrEx>
        <w:tc>
          <w:tcPr>
            <w:tcW w:w="9360" w:type="dxa"/>
            <w:gridSpan w:val="3"/>
            <w:tcMar>
              <w:top w:w="80" w:type="dxa"/>
              <w:left w:w="100" w:type="dxa"/>
              <w:bottom w:w="80" w:type="dxa"/>
              <w:right w:w="100" w:type="dxa"/>
            </w:tcMar>
          </w:tcPr>
          <w:p w:rsidR="0069568D" w:rsidRDefault="00000000" w14:paraId="76EB7632" w14:textId="77777777">
            <w:pPr>
              <w:spacing w:after="60" w:line="264" w:lineRule="auto"/>
            </w:pPr>
            <w:r>
              <w:rPr>
                <w:b/>
                <w:bCs/>
                <w:sz w:val="20"/>
                <w:szCs w:val="20"/>
              </w:rPr>
              <w:t xml:space="preserve">Clinical Practice Gap 3: </w:t>
            </w:r>
            <w:r>
              <w:rPr>
                <w:sz w:val="20"/>
                <w:szCs w:val="20"/>
              </w:rPr>
              <w:t>The application of CMR to congenital heart disease — including anatomy, ventricular function, and flow quantification — is applied inconsistently. Congenital CMR requires specialized protocols and expertise that are unevenly available, resulting in under-utilization and variable quality.</w:t>
            </w:r>
          </w:p>
        </w:tc>
      </w:tr>
      <w:tr w:rsidR="0069568D" w14:paraId="72562AE7" w14:textId="77777777">
        <w:tblPrEx>
          <w:tblCellMar>
            <w:top w:w="0" w:type="dxa"/>
            <w:bottom w:w="0" w:type="dxa"/>
          </w:tblCellMar>
        </w:tblPrEx>
        <w:tc>
          <w:tcPr>
            <w:tcW w:w="3120" w:type="dxa"/>
            <w:tcMar>
              <w:top w:w="80" w:type="dxa"/>
              <w:left w:w="100" w:type="dxa"/>
              <w:bottom w:w="80" w:type="dxa"/>
              <w:right w:w="100" w:type="dxa"/>
            </w:tcMar>
          </w:tcPr>
          <w:p w:rsidR="0069568D" w:rsidRDefault="00000000" w14:paraId="3B389428" w14:textId="77777777">
            <w:pPr>
              <w:spacing w:after="60" w:line="264" w:lineRule="auto"/>
            </w:pPr>
            <w:r>
              <w:rPr>
                <w:b/>
                <w:bCs/>
                <w:sz w:val="20"/>
                <w:szCs w:val="20"/>
              </w:rPr>
              <w:t>Educational Need</w:t>
            </w:r>
          </w:p>
        </w:tc>
        <w:tc>
          <w:tcPr>
            <w:tcW w:w="3120" w:type="dxa"/>
            <w:tcMar>
              <w:top w:w="80" w:type="dxa"/>
              <w:left w:w="100" w:type="dxa"/>
              <w:bottom w:w="80" w:type="dxa"/>
              <w:right w:w="100" w:type="dxa"/>
            </w:tcMar>
          </w:tcPr>
          <w:p w:rsidR="0069568D" w:rsidRDefault="00000000" w14:paraId="049884C6" w14:textId="77777777">
            <w:pPr>
              <w:spacing w:after="60" w:line="264" w:lineRule="auto"/>
            </w:pPr>
            <w:r>
              <w:rPr>
                <w:b/>
                <w:bCs/>
                <w:sz w:val="20"/>
                <w:szCs w:val="20"/>
              </w:rPr>
              <w:t>Learning Objectives</w:t>
            </w:r>
          </w:p>
        </w:tc>
        <w:tc>
          <w:tcPr>
            <w:tcW w:w="3120" w:type="dxa"/>
            <w:tcMar>
              <w:top w:w="80" w:type="dxa"/>
              <w:left w:w="100" w:type="dxa"/>
              <w:bottom w:w="80" w:type="dxa"/>
              <w:right w:w="100" w:type="dxa"/>
            </w:tcMar>
          </w:tcPr>
          <w:p w:rsidR="0069568D" w:rsidRDefault="00000000" w14:paraId="6A2A42EB" w14:textId="77777777">
            <w:pPr>
              <w:spacing w:after="60" w:line="264" w:lineRule="auto"/>
            </w:pPr>
            <w:r>
              <w:rPr>
                <w:b/>
                <w:bCs/>
                <w:sz w:val="20"/>
                <w:szCs w:val="20"/>
              </w:rPr>
              <w:t>Outcomes Measurement</w:t>
            </w:r>
          </w:p>
        </w:tc>
      </w:tr>
      <w:tr w:rsidR="0069568D" w14:paraId="4E7F4584" w14:textId="77777777">
        <w:tblPrEx>
          <w:tblCellMar>
            <w:top w:w="0" w:type="dxa"/>
            <w:bottom w:w="0" w:type="dxa"/>
          </w:tblCellMar>
        </w:tblPrEx>
        <w:tc>
          <w:tcPr>
            <w:tcW w:w="3120" w:type="dxa"/>
            <w:tcMar>
              <w:top w:w="80" w:type="dxa"/>
              <w:left w:w="100" w:type="dxa"/>
              <w:bottom w:w="80" w:type="dxa"/>
              <w:right w:w="100" w:type="dxa"/>
            </w:tcMar>
          </w:tcPr>
          <w:p w:rsidR="0069568D" w:rsidRDefault="00000000" w14:paraId="6EB8D195" w14:textId="77777777">
            <w:pPr>
              <w:spacing w:after="60" w:line="264" w:lineRule="auto"/>
            </w:pPr>
            <w:r>
              <w:rPr>
                <w:sz w:val="20"/>
                <w:szCs w:val="20"/>
              </w:rPr>
              <w:t>Radiologists need education on specialized CMR protocols and interpretation for congenital heart disease, including flow quantification.</w:t>
            </w:r>
          </w:p>
        </w:tc>
        <w:tc>
          <w:tcPr>
            <w:tcW w:w="3120" w:type="dxa"/>
            <w:tcMar>
              <w:top w:w="80" w:type="dxa"/>
              <w:left w:w="100" w:type="dxa"/>
              <w:bottom w:w="80" w:type="dxa"/>
              <w:right w:w="100" w:type="dxa"/>
            </w:tcMar>
          </w:tcPr>
          <w:p w:rsidR="0069568D" w:rsidRDefault="00000000" w14:paraId="434D3019" w14:textId="77777777">
            <w:pPr>
              <w:spacing w:after="60" w:line="264" w:lineRule="auto"/>
            </w:pPr>
            <w:r>
              <w:rPr>
                <w:sz w:val="20"/>
                <w:szCs w:val="20"/>
              </w:rPr>
              <w:t>- Apply specialized CMR protocols for congenital heart disease.</w:t>
            </w:r>
          </w:p>
          <w:p w:rsidR="0069568D" w:rsidRDefault="00000000" w14:paraId="033B0960" w14:textId="77777777">
            <w:pPr>
              <w:spacing w:after="60" w:line="264" w:lineRule="auto"/>
            </w:pPr>
            <w:r>
              <w:rPr>
                <w:sz w:val="20"/>
                <w:szCs w:val="20"/>
              </w:rPr>
              <w:t>- Quantify ventricular function and flow in congenital heart disease.</w:t>
            </w:r>
          </w:p>
        </w:tc>
        <w:tc>
          <w:tcPr>
            <w:tcW w:w="3120" w:type="dxa"/>
            <w:tcMar>
              <w:top w:w="80" w:type="dxa"/>
              <w:left w:w="100" w:type="dxa"/>
              <w:bottom w:w="80" w:type="dxa"/>
              <w:right w:w="100" w:type="dxa"/>
            </w:tcMar>
          </w:tcPr>
          <w:p w:rsidR="0069568D" w:rsidRDefault="00000000" w14:paraId="0AE356A2" w14:textId="77777777">
            <w:pPr>
              <w:spacing w:after="60" w:line="264" w:lineRule="auto"/>
            </w:pPr>
            <w:r>
              <w:rPr>
                <w:sz w:val="20"/>
                <w:szCs w:val="20"/>
              </w:rPr>
              <w:t>Level 4 (competence): Case-based multiple-choice questions and self-reported intent-to-change practice measuring congenital CMR application.</w:t>
            </w:r>
          </w:p>
        </w:tc>
      </w:tr>
    </w:tbl>
    <w:p w:rsidR="0069568D" w:rsidRDefault="0069568D" w14:paraId="039AC06C" w14:textId="77777777">
      <w:pPr>
        <w:spacing w:after="120"/>
      </w:pPr>
    </w:p>
    <w:p w:rsidR="0069568D" w:rsidRDefault="00000000" w14:paraId="62D4B3DE" w14:textId="77777777">
      <w:pPr>
        <w:spacing w:before="240" w:after="120"/>
      </w:pPr>
      <w:r>
        <w:rPr>
          <w:b/>
          <w:bCs/>
          <w:sz w:val="24"/>
          <w:szCs w:val="24"/>
        </w:rPr>
        <w:t>Summary Statement of Need</w:t>
      </w:r>
    </w:p>
    <w:p w:rsidR="0069568D" w:rsidRDefault="00000000" w14:paraId="1505342D" w14:textId="77777777">
      <w:pPr>
        <w:spacing w:after="160" w:line="276" w:lineRule="auto"/>
      </w:pPr>
      <w:r>
        <w:t>Cardiac MRI (CMR) has become a cornerstone of advanced cardiovascular imaging, providing accurate assessment of ventricular structure and function together with unique tissue characterization. Standardized CMR protocols have been developed by professional bodies to ensure reproducible, high-quality acquisition across indications.</w:t>
      </w:r>
      <w:r>
        <w:rPr>
          <w:vertAlign w:val="superscript"/>
        </w:rPr>
        <w:t>2</w:t>
      </w:r>
      <w:r>
        <w:t xml:space="preserve"> Realizing CMR's value, however, depends on the interpreting radiologist's proficiency with these protocols and with the tissue-characterization techniques — late gadolinium enhancement (LGE) and parametric mapping — that distinguish CMR from other modalities.</w:t>
      </w:r>
    </w:p>
    <w:p w:rsidR="0069568D" w:rsidRDefault="00000000" w14:paraId="03AF64BD" w14:textId="77777777">
      <w:pPr>
        <w:spacing w:after="160" w:line="276" w:lineRule="auto"/>
      </w:pPr>
      <w:r>
        <w:t>Nowhere is this clearer than in cardiomyopathy. In hypertrophic cardiomyopathy (HCM), CMR now plays a central role: the 2024 multi-society HCM guideline gives CMR a Class 1 recommendation to aid sudden-cardiac-death risk stratification in patients not already clearly high risk, and the extent of LGE is an important marker of risk.</w:t>
      </w:r>
      <w:r>
        <w:rPr>
          <w:vertAlign w:val="superscript"/>
        </w:rPr>
        <w:t>1</w:t>
      </w:r>
      <w:r>
        <w:t xml:space="preserve"> CMR is also essential for differentiating HCM from phenocopies — such as cardiac amyloidosis and Fabry disease — that require entirely different management, a distinction emphasized in current cardiomyopathy guidelines.</w:t>
      </w:r>
      <w:r>
        <w:rPr>
          <w:vertAlign w:val="superscript"/>
        </w:rPr>
        <w:t>4</w:t>
      </w:r>
      <w:r>
        <w:t xml:space="preserve"> Many radiologists, however, are not proficient in LGE quantification, parametric mapping, or phenocopy differentiation.</w:t>
      </w:r>
      <w:r>
        <w:rPr>
          <w:vertAlign w:val="superscript"/>
        </w:rPr>
        <w:t>1,2</w:t>
      </w:r>
    </w:p>
    <w:p w:rsidR="0069568D" w:rsidRDefault="00000000" w14:paraId="7AB85796" w14:textId="77777777">
      <w:pPr>
        <w:spacing w:after="160" w:line="276" w:lineRule="auto"/>
      </w:pPr>
      <w:r>
        <w:t>Beyond cardiomyopathy, CMR is a principal tool for characterizing cardiac masses — distinguishing tumor from thrombus and benign from malignant lesions through systematic tissue characterization — and for the comprehensive assessment of congenital heart disease, including anatomy, ventricular function, and flow quantification, which requires specialized protocols and standardized post-processing.</w:t>
      </w:r>
      <w:r>
        <w:rPr>
          <w:vertAlign w:val="superscript"/>
        </w:rPr>
        <w:t>2,3</w:t>
      </w:r>
      <w:r>
        <w:t xml:space="preserve"> These advanced applications are unevenly applied, particularly where subspecialty cardiac imaging expertise is limited. Expert-led, case-based education is needed to standardize CMR protocols and tissue characterization, strengthen cardiac-mass and congenital assessment, and improve diagnostic accuracy.</w:t>
      </w:r>
    </w:p>
    <w:p w:rsidR="0069568D" w:rsidRDefault="00000000" w14:paraId="0D0506CA" w14:textId="77777777">
      <w:pPr>
        <w:spacing w:before="240" w:after="120"/>
      </w:pPr>
      <w:r>
        <w:rPr>
          <w:b/>
          <w:bCs/>
          <w:sz w:val="24"/>
          <w:szCs w:val="24"/>
        </w:rPr>
        <w:t>Introduction</w:t>
      </w:r>
    </w:p>
    <w:p w:rsidR="0069568D" w:rsidRDefault="00000000" w14:paraId="14E21913" w14:textId="77777777">
      <w:pPr>
        <w:spacing w:after="160" w:line="276" w:lineRule="auto"/>
      </w:pPr>
      <w:r>
        <w:t xml:space="preserve">Cardiovascular disease is a leading cause of morbidity and mortality worldwide, and cardiac MRI (CMR) has emerged as a powerful, radiation-free modality for its evaluation. CMR uniquely combines accurate assessment of cardiac anatomy and function with tissue characterization — using cine imaging, late </w:t>
        <w:lastRenderedPageBreak/>
      </w:r>
      <w:r>
        <w:t>gadolinium enhancement (LGE), and parametric (T1 and T2) mapping — that reveals myocardial fibrosis, infiltration, edema, and other tissue changes.</w:t>
      </w:r>
      <w:r>
        <w:rPr>
          <w:vertAlign w:val="superscript"/>
        </w:rPr>
        <w:t>2</w:t>
      </w:r>
    </w:p>
    <w:p w:rsidR="0069568D" w:rsidRDefault="00000000" w14:paraId="40E8AF64" w14:textId="77777777">
      <w:pPr>
        <w:spacing w:after="160" w:line="276" w:lineRule="auto"/>
      </w:pPr>
      <w:r>
        <w:t>This capability has made CMR central to the evaluation of cardiomyopathy. In hypertrophic cardiomyopathy, the 2024 AHA/ACC/AMSSM/HRS/PACES/SCMR guideline endorses CMR with a Class 1 recommendation for sudden-cardiac-death risk stratification in patients who are not already clearly high risk, reflecting evidence that the extent of LGE correlates with risk.</w:t>
      </w:r>
      <w:r>
        <w:rPr>
          <w:vertAlign w:val="superscript"/>
        </w:rPr>
        <w:t>1</w:t>
      </w:r>
      <w:r>
        <w:t xml:space="preserve"> CMR is equally important in distinguishing HCM from phenocopies — including cardiac amyloidosis, Fabry disease, and hypertensive heart disease — that mimic its phenotype but demand different management, as emphasized in current cardiomyopathy guidelines.</w:t>
      </w:r>
      <w:r>
        <w:rPr>
          <w:vertAlign w:val="superscript"/>
        </w:rPr>
        <w:t>4</w:t>
      </w:r>
      <w:r>
        <w:t xml:space="preserve"> Standardized CMR protocols support reproducible acquisition across these indications, and standardized post-processing methods underpin the quantitative flow and functional assessment central to congenital heart disease.</w:t>
      </w:r>
      <w:r>
        <w:rPr>
          <w:vertAlign w:val="superscript"/>
        </w:rPr>
        <w:t>2,3</w:t>
      </w:r>
    </w:p>
    <w:p w:rsidR="0069568D" w:rsidRDefault="00000000" w14:paraId="399D5FBA" w14:textId="77777777">
      <w:pPr>
        <w:spacing w:after="160" w:line="276" w:lineRule="auto"/>
      </w:pPr>
      <w:r w:rsidR="0C3E8167">
        <w:rPr/>
        <w:t>Despite these advances, proficiency with optimized CMR protocols, tissue characterization, cardiac-mass evaluation, and congenital imaging is unevenly distributed, and access to subspecialty cardiac imaging expertise is limited in many settings. This symposium is designed to close these gaps through expert-led, case-based instruction in CMR tissue characterization, cardiac-mass evaluation, and congenital heart disease assessment.</w:t>
      </w:r>
    </w:p>
    <w:p w:rsidR="024BBEEE" w:rsidP="024BBEEE" w:rsidRDefault="024BBEEE" w14:paraId="396D2CC6" w14:textId="620C1C9F">
      <w:pPr>
        <w:spacing w:before="240" w:after="120"/>
        <w:rPr>
          <w:b w:val="1"/>
          <w:bCs w:val="1"/>
          <w:sz w:val="24"/>
          <w:szCs w:val="24"/>
        </w:rPr>
      </w:pPr>
    </w:p>
    <w:p w:rsidR="0069568D" w:rsidRDefault="00000000" w14:paraId="656E3896" w14:textId="77777777">
      <w:pPr>
        <w:spacing w:before="240" w:after="120"/>
      </w:pPr>
      <w:r>
        <w:rPr>
          <w:b/>
          <w:bCs/>
          <w:sz w:val="24"/>
          <w:szCs w:val="24"/>
        </w:rPr>
        <w:t>Clinical Practice Gap 1:</w:t>
      </w:r>
    </w:p>
    <w:p w:rsidR="0069568D" w:rsidRDefault="00000000" w14:paraId="507DC069" w14:textId="77777777">
      <w:pPr>
        <w:spacing w:after="120"/>
      </w:pPr>
      <w:r>
        <w:rPr>
          <w:b/>
          <w:bCs/>
        </w:rPr>
        <w:t>Radiologists demonstrate variability in the use of optimized CMR protocols and tissue-characterization techniques for cardiomyopathy. Despite CMR's now-central role in HCM — including a Class 1 recommendation for sudden-cardiac-death risk stratification in the 2024 HCM guideline — many are not proficient in LGE quantification, parametric mapping, or phenocopy differentiation.</w:t>
      </w:r>
    </w:p>
    <w:p w:rsidR="0069568D" w:rsidRDefault="00000000" w14:paraId="034B67E5" w14:textId="77777777">
      <w:pPr>
        <w:spacing w:before="160" w:after="80"/>
      </w:pPr>
      <w:r>
        <w:rPr>
          <w:b/>
          <w:bCs/>
          <w:i/>
          <w:iCs/>
        </w:rPr>
        <w:t>CMR's Central Role in HCM</w:t>
      </w:r>
    </w:p>
    <w:p w:rsidR="0069568D" w:rsidRDefault="00000000" w14:paraId="7EDD774E" w14:textId="77777777">
      <w:pPr>
        <w:spacing w:after="160" w:line="276" w:lineRule="auto"/>
      </w:pPr>
      <w:r>
        <w:t>The 2024 multi-society HCM guideline gives CMR a Class 1 recommendation to assist sudden-cardiac-death risk stratification in patients who are not already clearly high risk, reflecting evidence that the extent of late gadolinium enhancement is an important, independent marker of risk.</w:t>
      </w:r>
      <w:r>
        <w:rPr>
          <w:vertAlign w:val="superscript"/>
        </w:rPr>
        <w:t>1</w:t>
      </w:r>
      <w:r>
        <w:t xml:space="preserve"> Accurate LGE assessment therefore has direct implications for management, including decisions about implantable defibrillators.</w:t>
      </w:r>
    </w:p>
    <w:p w:rsidR="0069568D" w:rsidRDefault="00000000" w14:paraId="1136F79B" w14:textId="77777777">
      <w:pPr>
        <w:spacing w:before="160" w:after="80"/>
      </w:pPr>
      <w:r>
        <w:rPr>
          <w:b/>
          <w:bCs/>
          <w:i/>
          <w:iCs/>
        </w:rPr>
        <w:t>Tissue Characterization and Protocol Optimization</w:t>
      </w:r>
    </w:p>
    <w:p w:rsidR="0069568D" w:rsidRDefault="00000000" w14:paraId="04C5C111" w14:textId="77777777">
      <w:pPr>
        <w:spacing w:after="160" w:line="276" w:lineRule="auto"/>
      </w:pPr>
      <w:r>
        <w:t>CMR's distinctive value lies in tissue characterization — cine imaging for morphology and function, LGE for fibrosis, and parametric T1/T2 mapping for infiltration and edema. Standardized protocols support reproducible acquisition, but radiologists must understand how to optimize and interpret these sequences.</w:t>
      </w:r>
      <w:r>
        <w:rPr>
          <w:vertAlign w:val="superscript"/>
        </w:rPr>
        <w:t>2</w:t>
      </w:r>
      <w:r>
        <w:t xml:space="preserve"> Deficiencies here undermine both diagnosis and risk stratification.</w:t>
      </w:r>
    </w:p>
    <w:p w:rsidR="0069568D" w:rsidRDefault="00000000" w14:paraId="318C4ECA" w14:textId="77777777">
      <w:pPr>
        <w:spacing w:before="160" w:after="80"/>
      </w:pPr>
      <w:r>
        <w:rPr>
          <w:b/>
          <w:bCs/>
          <w:i/>
          <w:iCs/>
        </w:rPr>
        <w:t>Differentiating Phenocopies</w:t>
      </w:r>
    </w:p>
    <w:p w:rsidR="0069568D" w:rsidRDefault="00000000" w14:paraId="6EB77C43" w14:textId="77777777">
      <w:pPr>
        <w:spacing w:after="160" w:line="276" w:lineRule="auto"/>
      </w:pPr>
      <w:r>
        <w:t>A critical task is distinguishing HCM from phenocopies — cardiac amyloidosis, Fabry disease, and hypertensive heart disease — that mimic hypertrophy but require different management. Parametric mapping and characteristic LGE patterns are central to this differentiation, which current cardiomyopathy guidelines integrate into diagnosis, and unfamiliarity leads to misdiagnosis.</w:t>
      </w:r>
      <w:r>
        <w:rPr>
          <w:vertAlign w:val="superscript"/>
        </w:rPr>
        <w:t>1,2,4</w:t>
      </w:r>
    </w:p>
    <w:p w:rsidR="0069568D" w:rsidRDefault="00000000" w14:paraId="1027113A" w14:textId="77777777">
      <w:pPr>
        <w:spacing w:before="160" w:after="80"/>
      </w:pPr>
      <w:r>
        <w:rPr>
          <w:b/>
          <w:bCs/>
          <w:i/>
          <w:iCs/>
        </w:rPr>
        <w:t>Need for Structured Education</w:t>
      </w:r>
    </w:p>
    <w:p w:rsidR="0069568D" w:rsidRDefault="00000000" w14:paraId="45CC8D5A" w14:textId="77777777">
      <w:pPr>
        <w:spacing w:after="160" w:line="276" w:lineRule="auto"/>
      </w:pPr>
      <w:r w:rsidR="0C3E8167">
        <w:rPr/>
        <w:t>Closing this gap requires case-based education on optimized CMR protocols, tissue characterization, and phenocopy differentiation. Expert-led case discussion is well suited to building these interpretive skills.</w:t>
      </w:r>
      <w:r w:rsidRPr="024BBEEE" w:rsidR="0C3E8167">
        <w:rPr>
          <w:vertAlign w:val="superscript"/>
        </w:rPr>
        <w:t>1,2</w:t>
      </w:r>
    </w:p>
    <w:p w:rsidR="024BBEEE" w:rsidP="024BBEEE" w:rsidRDefault="024BBEEE" w14:paraId="36CCC21F" w14:textId="6A408DBD">
      <w:pPr>
        <w:spacing w:before="240" w:after="120"/>
        <w:rPr>
          <w:b w:val="1"/>
          <w:bCs w:val="1"/>
          <w:sz w:val="24"/>
          <w:szCs w:val="24"/>
        </w:rPr>
      </w:pPr>
    </w:p>
    <w:p w:rsidR="0069568D" w:rsidRDefault="00000000" w14:paraId="535780C6" w14:textId="77777777">
      <w:pPr>
        <w:spacing w:before="240" w:after="120"/>
      </w:pPr>
      <w:r>
        <w:rPr>
          <w:b/>
          <w:bCs/>
          <w:sz w:val="24"/>
          <w:szCs w:val="24"/>
        </w:rPr>
        <w:t>Clinical Practice Gap 2:</w:t>
      </w:r>
    </w:p>
    <w:p w:rsidR="0069568D" w:rsidRDefault="00000000" w14:paraId="5EF405EB" w14:textId="77777777">
      <w:pPr>
        <w:spacing w:after="120"/>
      </w:pPr>
      <w:r>
        <w:rPr>
          <w:b/>
          <w:bCs/>
        </w:rPr>
        <w:t>There is a significant gap in radiologists' ability to characterize cardiac masses using CMR. Distinguishing tumor from thrombus and benign from malignant lesions requires a systematic, multi-sequence tissue-characterization approach that is frequently under-taught, leading to under-utilization and misclassification.</w:t>
      </w:r>
    </w:p>
    <w:p w:rsidR="0069568D" w:rsidRDefault="00000000" w14:paraId="5293E7FB" w14:textId="77777777">
      <w:pPr>
        <w:spacing w:before="160" w:after="80"/>
      </w:pPr>
      <w:r>
        <w:rPr>
          <w:b/>
          <w:bCs/>
          <w:i/>
          <w:iCs/>
        </w:rPr>
        <w:t>The Value of CMR for Cardiac Masses</w:t>
      </w:r>
    </w:p>
    <w:p w:rsidR="0069568D" w:rsidRDefault="00000000" w14:paraId="0F375956" w14:textId="77777777">
      <w:pPr>
        <w:spacing w:after="160" w:line="276" w:lineRule="auto"/>
      </w:pPr>
      <w:r>
        <w:t xml:space="preserve">CMR is a principal tool for evaluating cardiac and paracardiac masses, combining anatomic localization with multi-sequence tissue characterization to assess composition, vascularity, and relationship to adjacent structures.</w:t>
      </w:r>
      <w:r>
        <w:rPr>
          <w:vertAlign w:val="superscript"/>
        </w:rPr>
        <w:t>2</w:t>
      </w:r>
      <w:r>
        <w:t xml:space="preserve"> This information is often decisive in distinguishing neoplasm from non-neoplastic lesions.</w:t>
      </w:r>
    </w:p>
    <w:p w:rsidR="0069568D" w:rsidRDefault="00000000" w14:paraId="596AE0DA" w14:textId="77777777">
      <w:pPr>
        <w:spacing w:before="160" w:after="80"/>
      </w:pPr>
      <w:r>
        <w:rPr>
          <w:b/>
          <w:bCs/>
          <w:i/>
          <w:iCs/>
        </w:rPr>
        <w:t>Tumor Versus Thrombus and Benign Versus Malignant</w:t>
      </w:r>
    </w:p>
    <w:p w:rsidR="0069568D" w:rsidRDefault="00000000" w14:paraId="7440F644" w14:textId="77777777">
      <w:pPr>
        <w:spacing w:after="160" w:line="276" w:lineRule="auto"/>
      </w:pPr>
      <w:r>
        <w:t>A common and consequential task is distinguishing tumor from thrombus — where perfusion and enhancement characteristics are key — and benign from malignant masses, where features such as tissue signal, enhancement, invasiveness, and associated effusion guide assessment. A systematic, protocol-driven approach is essential to avoid misclassification.</w:t>
      </w:r>
      <w:r>
        <w:rPr>
          <w:vertAlign w:val="superscript"/>
        </w:rPr>
        <w:t>2</w:t>
      </w:r>
    </w:p>
    <w:p w:rsidR="0069568D" w:rsidRDefault="00000000" w14:paraId="7B347E31" w14:textId="77777777">
      <w:pPr>
        <w:spacing w:before="160" w:after="80"/>
      </w:pPr>
      <w:r>
        <w:rPr>
          <w:b/>
          <w:bCs/>
          <w:i/>
          <w:iCs/>
        </w:rPr>
        <w:t>Under-Utilization</w:t>
      </w:r>
    </w:p>
    <w:p w:rsidR="0069568D" w:rsidRDefault="00000000" w14:paraId="27DA28CB" w14:textId="77777777">
      <w:pPr>
        <w:spacing w:after="160" w:line="276" w:lineRule="auto"/>
      </w:pPr>
      <w:r>
        <w:t>Because cardiac-mass characterization is under-taught and requires specific protocol knowledge, CMR is frequently under-utilized or applied inconsistently, leading to diagnostic uncertainty and variable management.</w:t>
      </w:r>
    </w:p>
    <w:p w:rsidR="0069568D" w:rsidRDefault="00000000" w14:paraId="775BCB7C" w14:textId="77777777">
      <w:pPr>
        <w:spacing w:before="160" w:after="80"/>
      </w:pPr>
      <w:r>
        <w:rPr>
          <w:b/>
          <w:bCs/>
          <w:i/>
          <w:iCs/>
        </w:rPr>
        <w:t>Addressing the Gap</w:t>
      </w:r>
    </w:p>
    <w:p w:rsidR="0069568D" w:rsidRDefault="00000000" w14:paraId="179A48CA" w14:textId="77777777">
      <w:pPr>
        <w:spacing w:after="160" w:line="276" w:lineRule="auto"/>
      </w:pPr>
      <w:r w:rsidR="0C3E8167">
        <w:rPr/>
        <w:t>Case-based education focused on a systematic CMR approach to cardiac masses is the most direct way to build competence and reduce misclassification.</w:t>
      </w:r>
      <w:r w:rsidRPr="024BBEEE" w:rsidR="0C3E8167">
        <w:rPr>
          <w:vertAlign w:val="superscript"/>
        </w:rPr>
        <w:t>2</w:t>
      </w:r>
    </w:p>
    <w:p w:rsidR="024BBEEE" w:rsidP="024BBEEE" w:rsidRDefault="024BBEEE" w14:paraId="53BC70A8" w14:textId="109913B5">
      <w:pPr>
        <w:spacing w:before="240" w:after="120"/>
        <w:rPr>
          <w:b w:val="1"/>
          <w:bCs w:val="1"/>
          <w:sz w:val="24"/>
          <w:szCs w:val="24"/>
        </w:rPr>
      </w:pPr>
    </w:p>
    <w:p w:rsidR="024BBEEE" w:rsidP="024BBEEE" w:rsidRDefault="024BBEEE" w14:paraId="4469FE85" w14:textId="5E5F39CA">
      <w:pPr>
        <w:spacing w:before="240" w:after="120"/>
        <w:rPr>
          <w:b w:val="1"/>
          <w:bCs w:val="1"/>
          <w:sz w:val="24"/>
          <w:szCs w:val="24"/>
        </w:rPr>
      </w:pPr>
    </w:p>
    <w:p w:rsidR="0069568D" w:rsidRDefault="00000000" w14:paraId="14E720DD" w14:textId="77777777">
      <w:pPr>
        <w:spacing w:before="240" w:after="120"/>
      </w:pPr>
      <w:r>
        <w:rPr>
          <w:b/>
          <w:bCs/>
          <w:sz w:val="24"/>
          <w:szCs w:val="24"/>
        </w:rPr>
        <w:t>Clinical Practice Gap 3:</w:t>
      </w:r>
    </w:p>
    <w:p w:rsidR="0069568D" w:rsidRDefault="00000000" w14:paraId="01E46999" w14:textId="77777777">
      <w:pPr>
        <w:spacing w:after="120"/>
      </w:pPr>
      <w:r>
        <w:rPr>
          <w:b/>
          <w:bCs/>
        </w:rPr>
        <w:t>The application of CMR to congenital heart disease — including anatomy, ventricular function, and flow quantification — is applied inconsistently. Congenital CMR requires specialized protocols and expertise that are unevenly available, resulting in under-utilization and variable quality.</w:t>
      </w:r>
    </w:p>
    <w:p w:rsidR="0069568D" w:rsidRDefault="00000000" w14:paraId="32B3C59C" w14:textId="77777777">
      <w:pPr>
        <w:spacing w:before="160" w:after="80"/>
      </w:pPr>
      <w:r>
        <w:rPr>
          <w:b/>
          <w:bCs/>
          <w:i/>
          <w:iCs/>
        </w:rPr>
        <w:t>The Role of CMR in Congenital Heart Disease</w:t>
      </w:r>
    </w:p>
    <w:p w:rsidR="0069568D" w:rsidRDefault="00000000" w14:paraId="35B0BFE6" w14:textId="77777777">
      <w:pPr>
        <w:spacing w:after="160" w:line="276" w:lineRule="auto"/>
      </w:pPr>
      <w:r>
        <w:t>CMR is central to the assessment of children and adults with congenital heart disease, providing comprehensive evaluation of complex anatomy, biventricular function, and — uniquely — quantification of flow and shunts. Standardized post-processing and quantitative-analysis methods underpin the specialized requirements of congenital CMR.</w:t>
      </w:r>
      <w:r>
        <w:rPr>
          <w:vertAlign w:val="superscript"/>
        </w:rPr>
        <w:t>3</w:t>
      </w:r>
    </w:p>
    <w:p w:rsidR="0069568D" w:rsidRDefault="00000000" w14:paraId="58BEBD4F" w14:textId="77777777">
      <w:pPr>
        <w:spacing w:before="160" w:after="80"/>
      </w:pPr>
      <w:r>
        <w:rPr>
          <w:b/>
          <w:bCs/>
          <w:i/>
          <w:iCs/>
        </w:rPr>
        <w:t>Flow Quantification and Functional Assessment</w:t>
      </w:r>
    </w:p>
    <w:p w:rsidR="0069568D" w:rsidRDefault="00000000" w14:paraId="287168FA" w14:textId="77777777">
      <w:pPr>
        <w:spacing w:after="160" w:line="276" w:lineRule="auto"/>
      </w:pPr>
      <w:r>
        <w:t xml:space="preserve">Phase-contrast flow quantification and accurate volumetric assessment are essential in congenital heart disease — for example, in quantifying regurgitation, shunts, and ventricular volumes that guide timing of </w:t>
        <w:lastRenderedPageBreak/>
      </w:r>
      <w:r>
        <w:t>intervention. These techniques rely on standardized post-processing and require specific expertise that must be explicitly taught.</w:t>
      </w:r>
      <w:r>
        <w:rPr>
          <w:vertAlign w:val="superscript"/>
        </w:rPr>
        <w:t>3</w:t>
      </w:r>
    </w:p>
    <w:p w:rsidR="0069568D" w:rsidRDefault="00000000" w14:paraId="21D4FA2A" w14:textId="77777777">
      <w:pPr>
        <w:spacing w:before="160" w:after="80"/>
      </w:pPr>
      <w:r>
        <w:rPr>
          <w:b/>
          <w:bCs/>
          <w:i/>
          <w:iCs/>
        </w:rPr>
        <w:t>Access and Expertise</w:t>
      </w:r>
    </w:p>
    <w:p w:rsidR="0069568D" w:rsidRDefault="00000000" w14:paraId="028DF1B5" w14:textId="77777777">
      <w:pPr>
        <w:spacing w:after="160" w:line="276" w:lineRule="auto"/>
      </w:pPr>
      <w:r>
        <w:t>Congenital CMR is complex and unevenly available, and access to subspecialty expertise is limited in many settings. This contributes to under-utilization and variable study quality, with direct consequences for patient management.</w:t>
      </w:r>
    </w:p>
    <w:p w:rsidR="0069568D" w:rsidRDefault="00000000" w14:paraId="1A7E5511" w14:textId="77777777">
      <w:pPr>
        <w:spacing w:before="160" w:after="80"/>
      </w:pPr>
      <w:r>
        <w:rPr>
          <w:b/>
          <w:bCs/>
          <w:i/>
          <w:iCs/>
        </w:rPr>
        <w:t>Addressing the Gap Through Education</w:t>
      </w:r>
    </w:p>
    <w:p w:rsidR="0069568D" w:rsidRDefault="00000000" w14:paraId="7B923C60" w14:textId="77777777">
      <w:pPr>
        <w:spacing w:after="160" w:line="276" w:lineRule="auto"/>
      </w:pPr>
      <w:r>
        <w:t>Expert-led, case-based education on specialized congenital CMR protocols, functional assessment, and flow quantification equips radiologists to apply CMR confidently in this complex population. Because techniques continue to evolve, ongoing, evidence-based instruction is essential.</w:t>
      </w:r>
      <w:r>
        <w:rPr>
          <w:vertAlign w:val="superscript"/>
        </w:rPr>
        <w:t>2,3</w:t>
      </w:r>
    </w:p>
    <w:p w:rsidR="0069568D" w:rsidRDefault="00000000" w14:paraId="34231F7E" w14:textId="77777777">
      <w:pPr>
        <w:spacing w:before="240" w:after="120"/>
      </w:pPr>
      <w:r>
        <w:rPr>
          <w:b/>
          <w:bCs/>
          <w:sz w:val="24"/>
          <w:szCs w:val="24"/>
        </w:rPr>
        <w:t>Conclusion:</w:t>
      </w:r>
    </w:p>
    <w:p w:rsidR="0069568D" w:rsidRDefault="00000000" w14:paraId="427BFEEA" w14:textId="77777777">
      <w:pPr>
        <w:spacing w:after="120"/>
      </w:pPr>
      <w:r>
        <w:rPr>
          <w:b/>
          <w:bCs/>
        </w:rPr>
        <w:t>Standardizing Cardiac MRI to Improve Diagnostic Accuracy in Complex Cardiac Disease</w:t>
      </w:r>
    </w:p>
    <w:p w:rsidR="0069568D" w:rsidRDefault="00000000" w14:paraId="29EF1E31" w14:textId="77777777">
      <w:pPr>
        <w:spacing w:after="160" w:line="276" w:lineRule="auto"/>
      </w:pPr>
      <w:r w:rsidR="0C3E8167">
        <w:rPr/>
        <w:t>Cardiac MRI offers unmatched, radiation-free assessment of cardiac structure, function, and tissue characteristics, and it now plays a central, guideline-endorsed role in the evaluation of cardiomyopathy, cardiac masses, and congenital heart disease.</w:t>
      </w:r>
      <w:r w:rsidRPr="024BBEEE" w:rsidR="0C3E8167">
        <w:rPr>
          <w:vertAlign w:val="superscript"/>
        </w:rPr>
        <w:t>1,2,3</w:t>
      </w:r>
      <w:r w:rsidR="0C3E8167">
        <w:rPr/>
        <w:t xml:space="preserve"> Realizing this value depends on radiologists who can apply optimized protocols and tissue-characterization techniques, differentiate HCM from its phenocopies, systematically characterize cardiac masses, and perform specialized congenital assessment including flow quantification. Persistent gaps in these areas limit CMR's diagnostic value and contribute to variable practice — concerns amplified where access to subspecialty cardiac imaging expertise is limited. By delivering expert-led, case-based education in CMR tissue characterization, cardiac-mass evaluation, and congenital heart disease assessment, this symposium aims to reduce diagnostic variability and strengthen the diagnostic and prognostic contribution of cardiac imaging — ultimately improving patient outcomes.</w:t>
      </w:r>
    </w:p>
    <w:p w:rsidR="024BBEEE" w:rsidP="024BBEEE" w:rsidRDefault="024BBEEE" w14:paraId="2A598A47" w14:textId="68748974">
      <w:pPr>
        <w:spacing w:before="240" w:after="120"/>
        <w:rPr>
          <w:b w:val="1"/>
          <w:bCs w:val="1"/>
          <w:sz w:val="24"/>
          <w:szCs w:val="24"/>
        </w:rPr>
      </w:pPr>
    </w:p>
    <w:p w:rsidR="024BBEEE" w:rsidP="024BBEEE" w:rsidRDefault="024BBEEE" w14:paraId="1DE5B391" w14:textId="49DF431B">
      <w:pPr>
        <w:spacing w:before="240" w:after="120"/>
        <w:rPr>
          <w:b w:val="1"/>
          <w:bCs w:val="1"/>
          <w:sz w:val="24"/>
          <w:szCs w:val="24"/>
        </w:rPr>
      </w:pPr>
    </w:p>
    <w:p w:rsidR="024BBEEE" w:rsidP="024BBEEE" w:rsidRDefault="024BBEEE" w14:paraId="3DA6A448" w14:textId="1702CF21">
      <w:pPr>
        <w:spacing w:before="240" w:after="120"/>
        <w:rPr>
          <w:b w:val="1"/>
          <w:bCs w:val="1"/>
          <w:sz w:val="24"/>
          <w:szCs w:val="24"/>
        </w:rPr>
      </w:pPr>
    </w:p>
    <w:p w:rsidR="024BBEEE" w:rsidP="024BBEEE" w:rsidRDefault="024BBEEE" w14:paraId="75F7AF35" w14:textId="4C5CCCF1">
      <w:pPr>
        <w:spacing w:before="240" w:after="120"/>
        <w:rPr>
          <w:b w:val="1"/>
          <w:bCs w:val="1"/>
          <w:sz w:val="24"/>
          <w:szCs w:val="24"/>
        </w:rPr>
      </w:pPr>
    </w:p>
    <w:p w:rsidR="0069568D" w:rsidRDefault="00000000" w14:paraId="556606B4" w14:textId="77777777">
      <w:pPr>
        <w:spacing w:before="240" w:after="120"/>
      </w:pPr>
      <w:r>
        <w:rPr>
          <w:b/>
          <w:bCs/>
          <w:sz w:val="24"/>
          <w:szCs w:val="24"/>
        </w:rPr>
        <w:t>References</w:t>
      </w:r>
    </w:p>
    <w:p w:rsidR="0069568D" w:rsidRDefault="00000000" w14:paraId="461C1D7A" w14:textId="77777777">
      <w:pPr>
        <w:pStyle w:val="ListParagraph"/>
        <w:numPr>
          <w:ilvl w:val="0"/>
          <w:numId w:val="3"/>
        </w:numPr>
        <w:spacing w:after="100" w:line="264" w:lineRule="auto"/>
      </w:pPr>
      <w:r>
        <w:rPr>
          <w:sz w:val="20"/>
          <w:szCs w:val="20"/>
        </w:rPr>
        <w:t xml:space="preserve">Ommen SR, et al. 2024 AHA/ACC/AMSSM/HRS/PACES/SCMR guideline for the management of hypertrophic cardiomyopathy: a report of the American Heart Association/American College of Cardiology Joint Committee on Clinical Practice Guidelines. </w:t>
      </w:r>
      <w:r>
        <w:rPr>
          <w:i/>
          <w:iCs/>
          <w:sz w:val="20"/>
          <w:szCs w:val="20"/>
        </w:rPr>
        <w:t>Circulation</w:t>
      </w:r>
      <w:r>
        <w:rPr>
          <w:sz w:val="20"/>
          <w:szCs w:val="20"/>
        </w:rPr>
        <w:t>. 2024;149(23):e1239-e1311. doi:10.1161/CIR.0000000000001250</w:t>
      </w:r>
    </w:p>
    <w:p w:rsidR="0069568D" w:rsidRDefault="00000000" w14:paraId="3FA3B55A" w14:textId="77777777">
      <w:pPr>
        <w:pStyle w:val="ListParagraph"/>
        <w:numPr>
          <w:ilvl w:val="0"/>
          <w:numId w:val="3"/>
        </w:numPr>
        <w:spacing w:after="100" w:line="264" w:lineRule="auto"/>
      </w:pPr>
      <w:r>
        <w:rPr>
          <w:sz w:val="20"/>
          <w:szCs w:val="20"/>
        </w:rPr>
        <w:t xml:space="preserve">Kramer CM, Barkhausen J, Bucciarelli-Ducci C, Flamm SD, Kim RJ, Nagel E. Standardized cardiovascular magnetic resonance imaging (CMR) protocols: 2020 update. </w:t>
      </w:r>
      <w:r>
        <w:rPr>
          <w:i/>
          <w:iCs/>
          <w:sz w:val="20"/>
          <w:szCs w:val="20"/>
        </w:rPr>
        <w:t>Journal of Cardiovascular Magnetic Resonance</w:t>
      </w:r>
      <w:r>
        <w:rPr>
          <w:sz w:val="20"/>
          <w:szCs w:val="20"/>
        </w:rPr>
        <w:t>. 2020;22(1):17. doi:10.1186/s12968-020-00607-1</w:t>
      </w:r>
    </w:p>
    <w:p w:rsidR="0069568D" w:rsidRDefault="00000000" w14:paraId="067103FB" w14:textId="77777777">
      <w:pPr>
        <w:pStyle w:val="ListParagraph"/>
        <w:numPr>
          <w:ilvl w:val="0"/>
          <w:numId w:val="3"/>
        </w:numPr>
        <w:spacing w:after="100" w:line="264" w:lineRule="auto"/>
      </w:pPr>
      <w:r>
        <w:rPr>
          <w:sz w:val="20"/>
          <w:szCs w:val="20"/>
        </w:rPr>
        <w:t xml:space="preserve">Schulz-Menger J, Bluemke DA, Bremerich J, et al. Standardized image interpretation and post-processing in cardiovascular magnetic resonance — 2020 update: Society for Cardiovascular Magnetic Resonance (SCMR) Board of Trustees Task Force on Standardized Post-Processing. </w:t>
      </w:r>
      <w:r>
        <w:rPr>
          <w:i/>
          <w:iCs/>
          <w:sz w:val="20"/>
          <w:szCs w:val="20"/>
        </w:rPr>
        <w:t>Journal of Cardiovascular Magnetic Resonance</w:t>
      </w:r>
      <w:r>
        <w:rPr>
          <w:sz w:val="20"/>
          <w:szCs w:val="20"/>
        </w:rPr>
        <w:t>. 2020;22(1):19. doi:10.1186/s12968-020-00610-6</w:t>
      </w:r>
    </w:p>
    <w:p w:rsidR="0069568D" w:rsidRDefault="00000000" w14:paraId="38B27632" w14:textId="77777777">
      <w:pPr>
        <w:pStyle w:val="ListParagraph"/>
        <w:numPr>
          <w:ilvl w:val="0"/>
          <w:numId w:val="3"/>
        </w:numPr>
        <w:spacing w:after="100" w:line="264" w:lineRule="auto"/>
      </w:pPr>
      <w:r>
        <w:rPr>
          <w:sz w:val="20"/>
          <w:szCs w:val="20"/>
        </w:rPr>
        <w:t xml:space="preserve">Arbelo E, Protonotarios A, Gimeno JR, et al. 2023 ESC Guidelines for the management of cardiomyopathies. </w:t>
      </w:r>
      <w:r>
        <w:rPr>
          <w:i/>
          <w:iCs/>
          <w:sz w:val="20"/>
          <w:szCs w:val="20"/>
        </w:rPr>
        <w:t>European Heart Journal</w:t>
      </w:r>
      <w:r>
        <w:rPr>
          <w:sz w:val="20"/>
          <w:szCs w:val="20"/>
        </w:rPr>
        <w:t>. 2023;44(37):3503-3626. doi:10.1093/eurheartj/ehad194</w:t>
      </w:r>
    </w:p>
    <w:p w:rsidR="0069568D" w:rsidP="00820F0E" w:rsidRDefault="0069568D" w14:paraId="2A68A37B" w14:textId="3E926AF9">
      <w:pPr>
        <w:pStyle w:val="ListParagraph"/>
        <w:spacing w:after="80" w:line="276" w:lineRule="auto"/>
        <w:ind w:left="500"/>
      </w:pPr>
    </w:p>
    <w:sectPr w:rsidR="0069568D">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52A4A"/>
    <w:multiLevelType w:val="hybridMultilevel"/>
    <w:tmpl w:val="0CD47804"/>
    <w:lvl w:ilvl="0" w:tplc="CC58EFB6">
      <w:start w:val="1"/>
      <w:numFmt w:val="bullet"/>
      <w:lvlText w:val="•"/>
      <w:lvlJc w:val="left"/>
      <w:pPr>
        <w:ind w:left="500" w:hanging="260"/>
      </w:pPr>
    </w:lvl>
    <w:lvl w:ilvl="1" w:tplc="988A836C">
      <w:numFmt w:val="decimal"/>
      <w:lvlText w:val=""/>
      <w:lvlJc w:val="left"/>
    </w:lvl>
    <w:lvl w:ilvl="2" w:tplc="6BA874F4">
      <w:numFmt w:val="decimal"/>
      <w:lvlText w:val=""/>
      <w:lvlJc w:val="left"/>
    </w:lvl>
    <w:lvl w:ilvl="3" w:tplc="2ED04FD2">
      <w:numFmt w:val="decimal"/>
      <w:lvlText w:val=""/>
      <w:lvlJc w:val="left"/>
    </w:lvl>
    <w:lvl w:ilvl="4" w:tplc="9184FD96">
      <w:numFmt w:val="decimal"/>
      <w:lvlText w:val=""/>
      <w:lvlJc w:val="left"/>
    </w:lvl>
    <w:lvl w:ilvl="5" w:tplc="F97CC98E">
      <w:numFmt w:val="decimal"/>
      <w:lvlText w:val=""/>
      <w:lvlJc w:val="left"/>
    </w:lvl>
    <w:lvl w:ilvl="6" w:tplc="D1B82B4A">
      <w:numFmt w:val="decimal"/>
      <w:lvlText w:val=""/>
      <w:lvlJc w:val="left"/>
    </w:lvl>
    <w:lvl w:ilvl="7" w:tplc="29B4332A">
      <w:numFmt w:val="decimal"/>
      <w:lvlText w:val=""/>
      <w:lvlJc w:val="left"/>
    </w:lvl>
    <w:lvl w:ilvl="8" w:tplc="2022FD70">
      <w:numFmt w:val="decimal"/>
      <w:lvlText w:val=""/>
      <w:lvlJc w:val="left"/>
    </w:lvl>
  </w:abstractNum>
  <w:abstractNum w:abstractNumId="1" w15:restartNumberingAfterBreak="0">
    <w:nsid w:val="11BA335D"/>
    <w:multiLevelType w:val="hybridMultilevel"/>
    <w:tmpl w:val="52F613B6"/>
    <w:lvl w:ilvl="0" w:tplc="B524CA38">
      <w:start w:val="1"/>
      <w:numFmt w:val="decimal"/>
      <w:lvlText w:val="%1."/>
      <w:lvlJc w:val="left"/>
      <w:pPr>
        <w:ind w:left="500" w:hanging="360"/>
      </w:pPr>
    </w:lvl>
    <w:lvl w:ilvl="1" w:tplc="5A76D878">
      <w:numFmt w:val="decimal"/>
      <w:lvlText w:val=""/>
      <w:lvlJc w:val="left"/>
    </w:lvl>
    <w:lvl w:ilvl="2" w:tplc="00E6E002">
      <w:numFmt w:val="decimal"/>
      <w:lvlText w:val=""/>
      <w:lvlJc w:val="left"/>
    </w:lvl>
    <w:lvl w:ilvl="3" w:tplc="4634AF3C">
      <w:numFmt w:val="decimal"/>
      <w:lvlText w:val=""/>
      <w:lvlJc w:val="left"/>
    </w:lvl>
    <w:lvl w:ilvl="4" w:tplc="47922406">
      <w:numFmt w:val="decimal"/>
      <w:lvlText w:val=""/>
      <w:lvlJc w:val="left"/>
    </w:lvl>
    <w:lvl w:ilvl="5" w:tplc="5F4C6866">
      <w:numFmt w:val="decimal"/>
      <w:lvlText w:val=""/>
      <w:lvlJc w:val="left"/>
    </w:lvl>
    <w:lvl w:ilvl="6" w:tplc="A6B058BC">
      <w:numFmt w:val="decimal"/>
      <w:lvlText w:val=""/>
      <w:lvlJc w:val="left"/>
    </w:lvl>
    <w:lvl w:ilvl="7" w:tplc="8BA6C096">
      <w:numFmt w:val="decimal"/>
      <w:lvlText w:val=""/>
      <w:lvlJc w:val="left"/>
    </w:lvl>
    <w:lvl w:ilvl="8" w:tplc="B12EE14E">
      <w:numFmt w:val="decimal"/>
      <w:lvlText w:val=""/>
      <w:lvlJc w:val="left"/>
    </w:lvl>
  </w:abstractNum>
  <w:abstractNum w:abstractNumId="2" w15:restartNumberingAfterBreak="0">
    <w:nsid w:val="155508F2"/>
    <w:multiLevelType w:val="hybridMultilevel"/>
    <w:tmpl w:val="A7A4BDD6"/>
    <w:lvl w:ilvl="0" w:tplc="3166A77A">
      <w:start w:val="1"/>
      <w:numFmt w:val="decimal"/>
      <w:lvlText w:val="%1."/>
      <w:lvlJc w:val="left"/>
      <w:pPr>
        <w:ind w:left="500" w:hanging="360"/>
      </w:pPr>
    </w:lvl>
    <w:lvl w:ilvl="1" w:tplc="9F1EB5D4">
      <w:numFmt w:val="decimal"/>
      <w:lvlText w:val=""/>
      <w:lvlJc w:val="left"/>
    </w:lvl>
    <w:lvl w:ilvl="2" w:tplc="F3EC5416">
      <w:numFmt w:val="decimal"/>
      <w:lvlText w:val=""/>
      <w:lvlJc w:val="left"/>
    </w:lvl>
    <w:lvl w:ilvl="3" w:tplc="2A963368">
      <w:numFmt w:val="decimal"/>
      <w:lvlText w:val=""/>
      <w:lvlJc w:val="left"/>
    </w:lvl>
    <w:lvl w:ilvl="4" w:tplc="A1F271EC">
      <w:numFmt w:val="decimal"/>
      <w:lvlText w:val=""/>
      <w:lvlJc w:val="left"/>
    </w:lvl>
    <w:lvl w:ilvl="5" w:tplc="C922D7A0">
      <w:numFmt w:val="decimal"/>
      <w:lvlText w:val=""/>
      <w:lvlJc w:val="left"/>
    </w:lvl>
    <w:lvl w:ilvl="6" w:tplc="BAE67FDC">
      <w:numFmt w:val="decimal"/>
      <w:lvlText w:val=""/>
      <w:lvlJc w:val="left"/>
    </w:lvl>
    <w:lvl w:ilvl="7" w:tplc="A0F0B3BE">
      <w:numFmt w:val="decimal"/>
      <w:lvlText w:val=""/>
      <w:lvlJc w:val="left"/>
    </w:lvl>
    <w:lvl w:ilvl="8" w:tplc="276E1F26">
      <w:numFmt w:val="decimal"/>
      <w:lvlText w:val=""/>
      <w:lvlJc w:val="left"/>
    </w:lvl>
  </w:abstractNum>
  <w:abstractNum w:abstractNumId="3" w15:restartNumberingAfterBreak="0">
    <w:nsid w:val="15EC396E"/>
    <w:multiLevelType w:val="hybridMultilevel"/>
    <w:tmpl w:val="FB6AA4BC"/>
    <w:lvl w:ilvl="0" w:tplc="28B043D0">
      <w:start w:val="1"/>
      <w:numFmt w:val="decimal"/>
      <w:lvlText w:val="%1."/>
      <w:lvlJc w:val="left"/>
      <w:pPr>
        <w:ind w:left="500" w:hanging="360"/>
      </w:pPr>
    </w:lvl>
    <w:lvl w:ilvl="1" w:tplc="E16A2C96">
      <w:numFmt w:val="decimal"/>
      <w:lvlText w:val=""/>
      <w:lvlJc w:val="left"/>
    </w:lvl>
    <w:lvl w:ilvl="2" w:tplc="DBBEAB28">
      <w:numFmt w:val="decimal"/>
      <w:lvlText w:val=""/>
      <w:lvlJc w:val="left"/>
    </w:lvl>
    <w:lvl w:ilvl="3" w:tplc="B5B21A0C">
      <w:numFmt w:val="decimal"/>
      <w:lvlText w:val=""/>
      <w:lvlJc w:val="left"/>
    </w:lvl>
    <w:lvl w:ilvl="4" w:tplc="8850F8EA">
      <w:numFmt w:val="decimal"/>
      <w:lvlText w:val=""/>
      <w:lvlJc w:val="left"/>
    </w:lvl>
    <w:lvl w:ilvl="5" w:tplc="D228EE52">
      <w:numFmt w:val="decimal"/>
      <w:lvlText w:val=""/>
      <w:lvlJc w:val="left"/>
    </w:lvl>
    <w:lvl w:ilvl="6" w:tplc="70249A7A">
      <w:numFmt w:val="decimal"/>
      <w:lvlText w:val=""/>
      <w:lvlJc w:val="left"/>
    </w:lvl>
    <w:lvl w:ilvl="7" w:tplc="C3425C3E">
      <w:numFmt w:val="decimal"/>
      <w:lvlText w:val=""/>
      <w:lvlJc w:val="left"/>
    </w:lvl>
    <w:lvl w:ilvl="8" w:tplc="1A905764">
      <w:numFmt w:val="decimal"/>
      <w:lvlText w:val=""/>
      <w:lvlJc w:val="left"/>
    </w:lvl>
  </w:abstractNum>
  <w:abstractNum w:abstractNumId="4" w15:restartNumberingAfterBreak="0">
    <w:nsid w:val="1AAC6569"/>
    <w:multiLevelType w:val="hybridMultilevel"/>
    <w:tmpl w:val="58AEA780"/>
    <w:lvl w:ilvl="0" w:tplc="4D504F22">
      <w:start w:val="1"/>
      <w:numFmt w:val="decimal"/>
      <w:lvlText w:val="%1."/>
      <w:lvlJc w:val="left"/>
      <w:pPr>
        <w:ind w:left="500" w:hanging="360"/>
      </w:pPr>
    </w:lvl>
    <w:lvl w:ilvl="1" w:tplc="531606CC">
      <w:numFmt w:val="decimal"/>
      <w:lvlText w:val=""/>
      <w:lvlJc w:val="left"/>
    </w:lvl>
    <w:lvl w:ilvl="2" w:tplc="05EED1E2">
      <w:numFmt w:val="decimal"/>
      <w:lvlText w:val=""/>
      <w:lvlJc w:val="left"/>
    </w:lvl>
    <w:lvl w:ilvl="3" w:tplc="78BC45AE">
      <w:numFmt w:val="decimal"/>
      <w:lvlText w:val=""/>
      <w:lvlJc w:val="left"/>
    </w:lvl>
    <w:lvl w:ilvl="4" w:tplc="797294A4">
      <w:numFmt w:val="decimal"/>
      <w:lvlText w:val=""/>
      <w:lvlJc w:val="left"/>
    </w:lvl>
    <w:lvl w:ilvl="5" w:tplc="BDEE06FA">
      <w:numFmt w:val="decimal"/>
      <w:lvlText w:val=""/>
      <w:lvlJc w:val="left"/>
    </w:lvl>
    <w:lvl w:ilvl="6" w:tplc="17E032E2">
      <w:numFmt w:val="decimal"/>
      <w:lvlText w:val=""/>
      <w:lvlJc w:val="left"/>
    </w:lvl>
    <w:lvl w:ilvl="7" w:tplc="66BA827E">
      <w:numFmt w:val="decimal"/>
      <w:lvlText w:val=""/>
      <w:lvlJc w:val="left"/>
    </w:lvl>
    <w:lvl w:ilvl="8" w:tplc="9DFA1F14">
      <w:numFmt w:val="decimal"/>
      <w:lvlText w:val=""/>
      <w:lvlJc w:val="left"/>
    </w:lvl>
  </w:abstractNum>
  <w:abstractNum w:abstractNumId="5" w15:restartNumberingAfterBreak="0">
    <w:nsid w:val="22D45AD4"/>
    <w:multiLevelType w:val="hybridMultilevel"/>
    <w:tmpl w:val="99A8353A"/>
    <w:lvl w:ilvl="0" w:tplc="4BEAD4C4">
      <w:start w:val="1"/>
      <w:numFmt w:val="decimal"/>
      <w:lvlText w:val="%1."/>
      <w:lvlJc w:val="left"/>
      <w:pPr>
        <w:ind w:left="500" w:hanging="360"/>
      </w:pPr>
    </w:lvl>
    <w:lvl w:ilvl="1" w:tplc="0F6E68EE">
      <w:numFmt w:val="decimal"/>
      <w:lvlText w:val=""/>
      <w:lvlJc w:val="left"/>
    </w:lvl>
    <w:lvl w:ilvl="2" w:tplc="EE84D926">
      <w:numFmt w:val="decimal"/>
      <w:lvlText w:val=""/>
      <w:lvlJc w:val="left"/>
    </w:lvl>
    <w:lvl w:ilvl="3" w:tplc="286E6566">
      <w:numFmt w:val="decimal"/>
      <w:lvlText w:val=""/>
      <w:lvlJc w:val="left"/>
    </w:lvl>
    <w:lvl w:ilvl="4" w:tplc="7E0023AA">
      <w:numFmt w:val="decimal"/>
      <w:lvlText w:val=""/>
      <w:lvlJc w:val="left"/>
    </w:lvl>
    <w:lvl w:ilvl="5" w:tplc="7C600028">
      <w:numFmt w:val="decimal"/>
      <w:lvlText w:val=""/>
      <w:lvlJc w:val="left"/>
    </w:lvl>
    <w:lvl w:ilvl="6" w:tplc="4B4E8634">
      <w:numFmt w:val="decimal"/>
      <w:lvlText w:val=""/>
      <w:lvlJc w:val="left"/>
    </w:lvl>
    <w:lvl w:ilvl="7" w:tplc="1FF69F1A">
      <w:numFmt w:val="decimal"/>
      <w:lvlText w:val=""/>
      <w:lvlJc w:val="left"/>
    </w:lvl>
    <w:lvl w:ilvl="8" w:tplc="285224A4">
      <w:numFmt w:val="decimal"/>
      <w:lvlText w:val=""/>
      <w:lvlJc w:val="left"/>
    </w:lvl>
  </w:abstractNum>
  <w:abstractNum w:abstractNumId="6" w15:restartNumberingAfterBreak="0">
    <w:nsid w:val="23CB6B31"/>
    <w:multiLevelType w:val="hybridMultilevel"/>
    <w:tmpl w:val="1DE8D5A2"/>
    <w:lvl w:ilvl="0" w:tplc="470271F4">
      <w:start w:val="1"/>
      <w:numFmt w:val="decimal"/>
      <w:lvlText w:val="%1."/>
      <w:lvlJc w:val="left"/>
      <w:pPr>
        <w:ind w:left="500" w:hanging="360"/>
      </w:pPr>
    </w:lvl>
    <w:lvl w:ilvl="1" w:tplc="F78A29B8">
      <w:numFmt w:val="decimal"/>
      <w:lvlText w:val=""/>
      <w:lvlJc w:val="left"/>
    </w:lvl>
    <w:lvl w:ilvl="2" w:tplc="DCE4B1BC">
      <w:numFmt w:val="decimal"/>
      <w:lvlText w:val=""/>
      <w:lvlJc w:val="left"/>
    </w:lvl>
    <w:lvl w:ilvl="3" w:tplc="02F82120">
      <w:numFmt w:val="decimal"/>
      <w:lvlText w:val=""/>
      <w:lvlJc w:val="left"/>
    </w:lvl>
    <w:lvl w:ilvl="4" w:tplc="23F00644">
      <w:numFmt w:val="decimal"/>
      <w:lvlText w:val=""/>
      <w:lvlJc w:val="left"/>
    </w:lvl>
    <w:lvl w:ilvl="5" w:tplc="CCA0CDF2">
      <w:numFmt w:val="decimal"/>
      <w:lvlText w:val=""/>
      <w:lvlJc w:val="left"/>
    </w:lvl>
    <w:lvl w:ilvl="6" w:tplc="41523F96">
      <w:numFmt w:val="decimal"/>
      <w:lvlText w:val=""/>
      <w:lvlJc w:val="left"/>
    </w:lvl>
    <w:lvl w:ilvl="7" w:tplc="EE361496">
      <w:numFmt w:val="decimal"/>
      <w:lvlText w:val=""/>
      <w:lvlJc w:val="left"/>
    </w:lvl>
    <w:lvl w:ilvl="8" w:tplc="2C22942A">
      <w:numFmt w:val="decimal"/>
      <w:lvlText w:val=""/>
      <w:lvlJc w:val="left"/>
    </w:lvl>
  </w:abstractNum>
  <w:abstractNum w:abstractNumId="7" w15:restartNumberingAfterBreak="0">
    <w:nsid w:val="2DCB7A7F"/>
    <w:multiLevelType w:val="hybridMultilevel"/>
    <w:tmpl w:val="37AC3692"/>
    <w:lvl w:ilvl="0" w:tplc="D78CC7D2">
      <w:start w:val="1"/>
      <w:numFmt w:val="decimal"/>
      <w:lvlText w:val="%1."/>
      <w:lvlJc w:val="left"/>
      <w:pPr>
        <w:ind w:left="500" w:hanging="360"/>
      </w:pPr>
    </w:lvl>
    <w:lvl w:ilvl="1" w:tplc="3FD40C0E">
      <w:numFmt w:val="decimal"/>
      <w:lvlText w:val=""/>
      <w:lvlJc w:val="left"/>
    </w:lvl>
    <w:lvl w:ilvl="2" w:tplc="F8546332">
      <w:numFmt w:val="decimal"/>
      <w:lvlText w:val=""/>
      <w:lvlJc w:val="left"/>
    </w:lvl>
    <w:lvl w:ilvl="3" w:tplc="FADC7C64">
      <w:numFmt w:val="decimal"/>
      <w:lvlText w:val=""/>
      <w:lvlJc w:val="left"/>
    </w:lvl>
    <w:lvl w:ilvl="4" w:tplc="818A1656">
      <w:numFmt w:val="decimal"/>
      <w:lvlText w:val=""/>
      <w:lvlJc w:val="left"/>
    </w:lvl>
    <w:lvl w:ilvl="5" w:tplc="35EE3742">
      <w:numFmt w:val="decimal"/>
      <w:lvlText w:val=""/>
      <w:lvlJc w:val="left"/>
    </w:lvl>
    <w:lvl w:ilvl="6" w:tplc="4358FEE4">
      <w:numFmt w:val="decimal"/>
      <w:lvlText w:val=""/>
      <w:lvlJc w:val="left"/>
    </w:lvl>
    <w:lvl w:ilvl="7" w:tplc="09BAA7C0">
      <w:numFmt w:val="decimal"/>
      <w:lvlText w:val=""/>
      <w:lvlJc w:val="left"/>
    </w:lvl>
    <w:lvl w:ilvl="8" w:tplc="0254B758">
      <w:numFmt w:val="decimal"/>
      <w:lvlText w:val=""/>
      <w:lvlJc w:val="left"/>
    </w:lvl>
  </w:abstractNum>
  <w:abstractNum w:abstractNumId="8" w15:restartNumberingAfterBreak="0">
    <w:nsid w:val="337A15EC"/>
    <w:multiLevelType w:val="hybridMultilevel"/>
    <w:tmpl w:val="601A5A9E"/>
    <w:lvl w:ilvl="0" w:tplc="C958CF86">
      <w:start w:val="1"/>
      <w:numFmt w:val="decimal"/>
      <w:lvlText w:val="%1."/>
      <w:lvlJc w:val="left"/>
      <w:pPr>
        <w:ind w:left="500" w:hanging="360"/>
      </w:pPr>
    </w:lvl>
    <w:lvl w:ilvl="1" w:tplc="05CE2F36">
      <w:numFmt w:val="decimal"/>
      <w:lvlText w:val=""/>
      <w:lvlJc w:val="left"/>
    </w:lvl>
    <w:lvl w:ilvl="2" w:tplc="89C486C0">
      <w:numFmt w:val="decimal"/>
      <w:lvlText w:val=""/>
      <w:lvlJc w:val="left"/>
    </w:lvl>
    <w:lvl w:ilvl="3" w:tplc="F29CDA0C">
      <w:numFmt w:val="decimal"/>
      <w:lvlText w:val=""/>
      <w:lvlJc w:val="left"/>
    </w:lvl>
    <w:lvl w:ilvl="4" w:tplc="7A48AFCA">
      <w:numFmt w:val="decimal"/>
      <w:lvlText w:val=""/>
      <w:lvlJc w:val="left"/>
    </w:lvl>
    <w:lvl w:ilvl="5" w:tplc="715C6E26">
      <w:numFmt w:val="decimal"/>
      <w:lvlText w:val=""/>
      <w:lvlJc w:val="left"/>
    </w:lvl>
    <w:lvl w:ilvl="6" w:tplc="4516B9C6">
      <w:numFmt w:val="decimal"/>
      <w:lvlText w:val=""/>
      <w:lvlJc w:val="left"/>
    </w:lvl>
    <w:lvl w:ilvl="7" w:tplc="823EF7DC">
      <w:numFmt w:val="decimal"/>
      <w:lvlText w:val=""/>
      <w:lvlJc w:val="left"/>
    </w:lvl>
    <w:lvl w:ilvl="8" w:tplc="37C83C28">
      <w:numFmt w:val="decimal"/>
      <w:lvlText w:val=""/>
      <w:lvlJc w:val="left"/>
    </w:lvl>
  </w:abstractNum>
  <w:abstractNum w:abstractNumId="9" w15:restartNumberingAfterBreak="0">
    <w:nsid w:val="33D22B56"/>
    <w:multiLevelType w:val="hybridMultilevel"/>
    <w:tmpl w:val="77AC9256"/>
    <w:lvl w:ilvl="0" w:tplc="8DE4112C">
      <w:start w:val="1"/>
      <w:numFmt w:val="decimal"/>
      <w:lvlText w:val="%1."/>
      <w:lvlJc w:val="left"/>
      <w:pPr>
        <w:ind w:left="500" w:hanging="360"/>
      </w:pPr>
    </w:lvl>
    <w:lvl w:ilvl="1" w:tplc="4288AF5A">
      <w:numFmt w:val="decimal"/>
      <w:lvlText w:val=""/>
      <w:lvlJc w:val="left"/>
    </w:lvl>
    <w:lvl w:ilvl="2" w:tplc="BFB65786">
      <w:numFmt w:val="decimal"/>
      <w:lvlText w:val=""/>
      <w:lvlJc w:val="left"/>
    </w:lvl>
    <w:lvl w:ilvl="3" w:tplc="02860D8E">
      <w:numFmt w:val="decimal"/>
      <w:lvlText w:val=""/>
      <w:lvlJc w:val="left"/>
    </w:lvl>
    <w:lvl w:ilvl="4" w:tplc="782CCD6A">
      <w:numFmt w:val="decimal"/>
      <w:lvlText w:val=""/>
      <w:lvlJc w:val="left"/>
    </w:lvl>
    <w:lvl w:ilvl="5" w:tplc="EB06D380">
      <w:numFmt w:val="decimal"/>
      <w:lvlText w:val=""/>
      <w:lvlJc w:val="left"/>
    </w:lvl>
    <w:lvl w:ilvl="6" w:tplc="5750F248">
      <w:numFmt w:val="decimal"/>
      <w:lvlText w:val=""/>
      <w:lvlJc w:val="left"/>
    </w:lvl>
    <w:lvl w:ilvl="7" w:tplc="44C24396">
      <w:numFmt w:val="decimal"/>
      <w:lvlText w:val=""/>
      <w:lvlJc w:val="left"/>
    </w:lvl>
    <w:lvl w:ilvl="8" w:tplc="47BA21C8">
      <w:numFmt w:val="decimal"/>
      <w:lvlText w:val=""/>
      <w:lvlJc w:val="left"/>
    </w:lvl>
  </w:abstractNum>
  <w:abstractNum w:abstractNumId="10" w15:restartNumberingAfterBreak="0">
    <w:nsid w:val="38F54836"/>
    <w:multiLevelType w:val="hybridMultilevel"/>
    <w:tmpl w:val="F6187766"/>
    <w:lvl w:ilvl="0" w:tplc="1CBCA4F8">
      <w:start w:val="1"/>
      <w:numFmt w:val="decimal"/>
      <w:lvlText w:val="%1."/>
      <w:lvlJc w:val="left"/>
      <w:pPr>
        <w:ind w:left="500" w:hanging="360"/>
      </w:pPr>
    </w:lvl>
    <w:lvl w:ilvl="1" w:tplc="53CC10B8">
      <w:numFmt w:val="decimal"/>
      <w:lvlText w:val=""/>
      <w:lvlJc w:val="left"/>
    </w:lvl>
    <w:lvl w:ilvl="2" w:tplc="B420CBF2">
      <w:numFmt w:val="decimal"/>
      <w:lvlText w:val=""/>
      <w:lvlJc w:val="left"/>
    </w:lvl>
    <w:lvl w:ilvl="3" w:tplc="785AA246">
      <w:numFmt w:val="decimal"/>
      <w:lvlText w:val=""/>
      <w:lvlJc w:val="left"/>
    </w:lvl>
    <w:lvl w:ilvl="4" w:tplc="DA50DB60">
      <w:numFmt w:val="decimal"/>
      <w:lvlText w:val=""/>
      <w:lvlJc w:val="left"/>
    </w:lvl>
    <w:lvl w:ilvl="5" w:tplc="A4608586">
      <w:numFmt w:val="decimal"/>
      <w:lvlText w:val=""/>
      <w:lvlJc w:val="left"/>
    </w:lvl>
    <w:lvl w:ilvl="6" w:tplc="EFFE7C26">
      <w:numFmt w:val="decimal"/>
      <w:lvlText w:val=""/>
      <w:lvlJc w:val="left"/>
    </w:lvl>
    <w:lvl w:ilvl="7" w:tplc="1B3653F6">
      <w:numFmt w:val="decimal"/>
      <w:lvlText w:val=""/>
      <w:lvlJc w:val="left"/>
    </w:lvl>
    <w:lvl w:ilvl="8" w:tplc="91BEA9BC">
      <w:numFmt w:val="decimal"/>
      <w:lvlText w:val=""/>
      <w:lvlJc w:val="left"/>
    </w:lvl>
  </w:abstractNum>
  <w:abstractNum w:abstractNumId="11" w15:restartNumberingAfterBreak="0">
    <w:nsid w:val="390251D3"/>
    <w:multiLevelType w:val="hybridMultilevel"/>
    <w:tmpl w:val="B1B6266E"/>
    <w:lvl w:ilvl="0" w:tplc="A3826254">
      <w:start w:val="1"/>
      <w:numFmt w:val="decimal"/>
      <w:lvlText w:val="%1."/>
      <w:lvlJc w:val="left"/>
      <w:pPr>
        <w:ind w:left="500" w:hanging="360"/>
      </w:pPr>
    </w:lvl>
    <w:lvl w:ilvl="1" w:tplc="A244B41C">
      <w:numFmt w:val="decimal"/>
      <w:lvlText w:val=""/>
      <w:lvlJc w:val="left"/>
    </w:lvl>
    <w:lvl w:ilvl="2" w:tplc="42C630F8">
      <w:numFmt w:val="decimal"/>
      <w:lvlText w:val=""/>
      <w:lvlJc w:val="left"/>
    </w:lvl>
    <w:lvl w:ilvl="3" w:tplc="2124C9B8">
      <w:numFmt w:val="decimal"/>
      <w:lvlText w:val=""/>
      <w:lvlJc w:val="left"/>
    </w:lvl>
    <w:lvl w:ilvl="4" w:tplc="3E04B01C">
      <w:numFmt w:val="decimal"/>
      <w:lvlText w:val=""/>
      <w:lvlJc w:val="left"/>
    </w:lvl>
    <w:lvl w:ilvl="5" w:tplc="9F1215C6">
      <w:numFmt w:val="decimal"/>
      <w:lvlText w:val=""/>
      <w:lvlJc w:val="left"/>
    </w:lvl>
    <w:lvl w:ilvl="6" w:tplc="BD026838">
      <w:numFmt w:val="decimal"/>
      <w:lvlText w:val=""/>
      <w:lvlJc w:val="left"/>
    </w:lvl>
    <w:lvl w:ilvl="7" w:tplc="A6F461AE">
      <w:numFmt w:val="decimal"/>
      <w:lvlText w:val=""/>
      <w:lvlJc w:val="left"/>
    </w:lvl>
    <w:lvl w:ilvl="8" w:tplc="B692AC12">
      <w:numFmt w:val="decimal"/>
      <w:lvlText w:val=""/>
      <w:lvlJc w:val="left"/>
    </w:lvl>
  </w:abstractNum>
  <w:abstractNum w:abstractNumId="12" w15:restartNumberingAfterBreak="0">
    <w:nsid w:val="39327CDE"/>
    <w:multiLevelType w:val="hybridMultilevel"/>
    <w:tmpl w:val="5096FFD8"/>
    <w:lvl w:ilvl="0" w:tplc="B8285E1C">
      <w:start w:val="1"/>
      <w:numFmt w:val="decimal"/>
      <w:lvlText w:val="%1."/>
      <w:lvlJc w:val="left"/>
      <w:pPr>
        <w:ind w:left="500" w:hanging="360"/>
      </w:pPr>
    </w:lvl>
    <w:lvl w:ilvl="1" w:tplc="EE0E3C54">
      <w:numFmt w:val="decimal"/>
      <w:lvlText w:val=""/>
      <w:lvlJc w:val="left"/>
    </w:lvl>
    <w:lvl w:ilvl="2" w:tplc="B3DC740E">
      <w:numFmt w:val="decimal"/>
      <w:lvlText w:val=""/>
      <w:lvlJc w:val="left"/>
    </w:lvl>
    <w:lvl w:ilvl="3" w:tplc="DE865024">
      <w:numFmt w:val="decimal"/>
      <w:lvlText w:val=""/>
      <w:lvlJc w:val="left"/>
    </w:lvl>
    <w:lvl w:ilvl="4" w:tplc="D2EAF856">
      <w:numFmt w:val="decimal"/>
      <w:lvlText w:val=""/>
      <w:lvlJc w:val="left"/>
    </w:lvl>
    <w:lvl w:ilvl="5" w:tplc="C172D574">
      <w:numFmt w:val="decimal"/>
      <w:lvlText w:val=""/>
      <w:lvlJc w:val="left"/>
    </w:lvl>
    <w:lvl w:ilvl="6" w:tplc="4080EFDE">
      <w:numFmt w:val="decimal"/>
      <w:lvlText w:val=""/>
      <w:lvlJc w:val="left"/>
    </w:lvl>
    <w:lvl w:ilvl="7" w:tplc="99CEDCCC">
      <w:numFmt w:val="decimal"/>
      <w:lvlText w:val=""/>
      <w:lvlJc w:val="left"/>
    </w:lvl>
    <w:lvl w:ilvl="8" w:tplc="29945B84">
      <w:numFmt w:val="decimal"/>
      <w:lvlText w:val=""/>
      <w:lvlJc w:val="left"/>
    </w:lvl>
  </w:abstractNum>
  <w:abstractNum w:abstractNumId="13" w15:restartNumberingAfterBreak="0">
    <w:nsid w:val="45C675BD"/>
    <w:multiLevelType w:val="hybridMultilevel"/>
    <w:tmpl w:val="50E4D16E"/>
    <w:lvl w:ilvl="0" w:tplc="FD88F314">
      <w:start w:val="1"/>
      <w:numFmt w:val="decimal"/>
      <w:lvlText w:val="%1."/>
      <w:lvlJc w:val="left"/>
      <w:pPr>
        <w:ind w:left="500" w:hanging="360"/>
      </w:pPr>
    </w:lvl>
    <w:lvl w:ilvl="1" w:tplc="E9B0BC1C">
      <w:numFmt w:val="decimal"/>
      <w:lvlText w:val=""/>
      <w:lvlJc w:val="left"/>
    </w:lvl>
    <w:lvl w:ilvl="2" w:tplc="2F902412">
      <w:numFmt w:val="decimal"/>
      <w:lvlText w:val=""/>
      <w:lvlJc w:val="left"/>
    </w:lvl>
    <w:lvl w:ilvl="3" w:tplc="3D2E747A">
      <w:numFmt w:val="decimal"/>
      <w:lvlText w:val=""/>
      <w:lvlJc w:val="left"/>
    </w:lvl>
    <w:lvl w:ilvl="4" w:tplc="CE344C38">
      <w:numFmt w:val="decimal"/>
      <w:lvlText w:val=""/>
      <w:lvlJc w:val="left"/>
    </w:lvl>
    <w:lvl w:ilvl="5" w:tplc="6FD47F00">
      <w:numFmt w:val="decimal"/>
      <w:lvlText w:val=""/>
      <w:lvlJc w:val="left"/>
    </w:lvl>
    <w:lvl w:ilvl="6" w:tplc="ABC4F3A2">
      <w:numFmt w:val="decimal"/>
      <w:lvlText w:val=""/>
      <w:lvlJc w:val="left"/>
    </w:lvl>
    <w:lvl w:ilvl="7" w:tplc="1E9CCBD2">
      <w:numFmt w:val="decimal"/>
      <w:lvlText w:val=""/>
      <w:lvlJc w:val="left"/>
    </w:lvl>
    <w:lvl w:ilvl="8" w:tplc="B14C5712">
      <w:numFmt w:val="decimal"/>
      <w:lvlText w:val=""/>
      <w:lvlJc w:val="left"/>
    </w:lvl>
  </w:abstractNum>
  <w:abstractNum w:abstractNumId="14" w15:restartNumberingAfterBreak="0">
    <w:nsid w:val="49760969"/>
    <w:multiLevelType w:val="hybridMultilevel"/>
    <w:tmpl w:val="7E1CA09E"/>
    <w:lvl w:ilvl="0" w:tplc="6DA00738">
      <w:start w:val="1"/>
      <w:numFmt w:val="decimal"/>
      <w:lvlText w:val="%1."/>
      <w:lvlJc w:val="left"/>
      <w:pPr>
        <w:ind w:left="500" w:hanging="360"/>
      </w:pPr>
    </w:lvl>
    <w:lvl w:ilvl="1" w:tplc="32B6CFC2">
      <w:numFmt w:val="decimal"/>
      <w:lvlText w:val=""/>
      <w:lvlJc w:val="left"/>
    </w:lvl>
    <w:lvl w:ilvl="2" w:tplc="F380225C">
      <w:numFmt w:val="decimal"/>
      <w:lvlText w:val=""/>
      <w:lvlJc w:val="left"/>
    </w:lvl>
    <w:lvl w:ilvl="3" w:tplc="6FA20A54">
      <w:numFmt w:val="decimal"/>
      <w:lvlText w:val=""/>
      <w:lvlJc w:val="left"/>
    </w:lvl>
    <w:lvl w:ilvl="4" w:tplc="A6D6FC56">
      <w:numFmt w:val="decimal"/>
      <w:lvlText w:val=""/>
      <w:lvlJc w:val="left"/>
    </w:lvl>
    <w:lvl w:ilvl="5" w:tplc="2F0AF384">
      <w:numFmt w:val="decimal"/>
      <w:lvlText w:val=""/>
      <w:lvlJc w:val="left"/>
    </w:lvl>
    <w:lvl w:ilvl="6" w:tplc="B6D6D922">
      <w:numFmt w:val="decimal"/>
      <w:lvlText w:val=""/>
      <w:lvlJc w:val="left"/>
    </w:lvl>
    <w:lvl w:ilvl="7" w:tplc="8346B956">
      <w:numFmt w:val="decimal"/>
      <w:lvlText w:val=""/>
      <w:lvlJc w:val="left"/>
    </w:lvl>
    <w:lvl w:ilvl="8" w:tplc="9466A2B0">
      <w:numFmt w:val="decimal"/>
      <w:lvlText w:val=""/>
      <w:lvlJc w:val="left"/>
    </w:lvl>
  </w:abstractNum>
  <w:abstractNum w:abstractNumId="15" w15:restartNumberingAfterBreak="0">
    <w:nsid w:val="4F00789D"/>
    <w:multiLevelType w:val="hybridMultilevel"/>
    <w:tmpl w:val="C15A3DA0"/>
    <w:lvl w:ilvl="0" w:tplc="8BDCF47C">
      <w:start w:val="1"/>
      <w:numFmt w:val="decimal"/>
      <w:lvlText w:val="%1."/>
      <w:lvlJc w:val="left"/>
      <w:pPr>
        <w:ind w:left="500" w:hanging="360"/>
      </w:pPr>
    </w:lvl>
    <w:lvl w:ilvl="1" w:tplc="0518DE00">
      <w:numFmt w:val="decimal"/>
      <w:lvlText w:val=""/>
      <w:lvlJc w:val="left"/>
    </w:lvl>
    <w:lvl w:ilvl="2" w:tplc="2D7E9DC4">
      <w:numFmt w:val="decimal"/>
      <w:lvlText w:val=""/>
      <w:lvlJc w:val="left"/>
    </w:lvl>
    <w:lvl w:ilvl="3" w:tplc="E34216C2">
      <w:numFmt w:val="decimal"/>
      <w:lvlText w:val=""/>
      <w:lvlJc w:val="left"/>
    </w:lvl>
    <w:lvl w:ilvl="4" w:tplc="877ABB14">
      <w:numFmt w:val="decimal"/>
      <w:lvlText w:val=""/>
      <w:lvlJc w:val="left"/>
    </w:lvl>
    <w:lvl w:ilvl="5" w:tplc="7CCAECEE">
      <w:numFmt w:val="decimal"/>
      <w:lvlText w:val=""/>
      <w:lvlJc w:val="left"/>
    </w:lvl>
    <w:lvl w:ilvl="6" w:tplc="24064E4E">
      <w:numFmt w:val="decimal"/>
      <w:lvlText w:val=""/>
      <w:lvlJc w:val="left"/>
    </w:lvl>
    <w:lvl w:ilvl="7" w:tplc="81DC354E">
      <w:numFmt w:val="decimal"/>
      <w:lvlText w:val=""/>
      <w:lvlJc w:val="left"/>
    </w:lvl>
    <w:lvl w:ilvl="8" w:tplc="54E08552">
      <w:numFmt w:val="decimal"/>
      <w:lvlText w:val=""/>
      <w:lvlJc w:val="left"/>
    </w:lvl>
  </w:abstractNum>
  <w:abstractNum w:abstractNumId="16" w15:restartNumberingAfterBreak="0">
    <w:nsid w:val="503255B8"/>
    <w:multiLevelType w:val="hybridMultilevel"/>
    <w:tmpl w:val="862E2C22"/>
    <w:lvl w:ilvl="0" w:tplc="678A8928">
      <w:start w:val="1"/>
      <w:numFmt w:val="decimal"/>
      <w:lvlText w:val="%1."/>
      <w:lvlJc w:val="left"/>
      <w:pPr>
        <w:ind w:left="500" w:hanging="360"/>
      </w:pPr>
    </w:lvl>
    <w:lvl w:ilvl="1" w:tplc="40EC023E">
      <w:numFmt w:val="decimal"/>
      <w:lvlText w:val=""/>
      <w:lvlJc w:val="left"/>
    </w:lvl>
    <w:lvl w:ilvl="2" w:tplc="43300248">
      <w:numFmt w:val="decimal"/>
      <w:lvlText w:val=""/>
      <w:lvlJc w:val="left"/>
    </w:lvl>
    <w:lvl w:ilvl="3" w:tplc="D8CA65D4">
      <w:numFmt w:val="decimal"/>
      <w:lvlText w:val=""/>
      <w:lvlJc w:val="left"/>
    </w:lvl>
    <w:lvl w:ilvl="4" w:tplc="F22E92E2">
      <w:numFmt w:val="decimal"/>
      <w:lvlText w:val=""/>
      <w:lvlJc w:val="left"/>
    </w:lvl>
    <w:lvl w:ilvl="5" w:tplc="798EE294">
      <w:numFmt w:val="decimal"/>
      <w:lvlText w:val=""/>
      <w:lvlJc w:val="left"/>
    </w:lvl>
    <w:lvl w:ilvl="6" w:tplc="CD12E7FA">
      <w:numFmt w:val="decimal"/>
      <w:lvlText w:val=""/>
      <w:lvlJc w:val="left"/>
    </w:lvl>
    <w:lvl w:ilvl="7" w:tplc="F4062420">
      <w:numFmt w:val="decimal"/>
      <w:lvlText w:val=""/>
      <w:lvlJc w:val="left"/>
    </w:lvl>
    <w:lvl w:ilvl="8" w:tplc="3AC86BAC">
      <w:numFmt w:val="decimal"/>
      <w:lvlText w:val=""/>
      <w:lvlJc w:val="left"/>
    </w:lvl>
  </w:abstractNum>
  <w:abstractNum w:abstractNumId="17" w15:restartNumberingAfterBreak="0">
    <w:nsid w:val="5792529B"/>
    <w:multiLevelType w:val="hybridMultilevel"/>
    <w:tmpl w:val="975E68C2"/>
    <w:lvl w:ilvl="0" w:tplc="7B9EDE00">
      <w:start w:val="1"/>
      <w:numFmt w:val="decimal"/>
      <w:lvlText w:val="%1."/>
      <w:lvlJc w:val="left"/>
      <w:pPr>
        <w:ind w:left="500" w:hanging="360"/>
      </w:pPr>
    </w:lvl>
    <w:lvl w:ilvl="1" w:tplc="23421D4A">
      <w:numFmt w:val="decimal"/>
      <w:lvlText w:val=""/>
      <w:lvlJc w:val="left"/>
    </w:lvl>
    <w:lvl w:ilvl="2" w:tplc="E2268886">
      <w:numFmt w:val="decimal"/>
      <w:lvlText w:val=""/>
      <w:lvlJc w:val="left"/>
    </w:lvl>
    <w:lvl w:ilvl="3" w:tplc="192E777C">
      <w:numFmt w:val="decimal"/>
      <w:lvlText w:val=""/>
      <w:lvlJc w:val="left"/>
    </w:lvl>
    <w:lvl w:ilvl="4" w:tplc="5CD4A12E">
      <w:numFmt w:val="decimal"/>
      <w:lvlText w:val=""/>
      <w:lvlJc w:val="left"/>
    </w:lvl>
    <w:lvl w:ilvl="5" w:tplc="DBFAB738">
      <w:numFmt w:val="decimal"/>
      <w:lvlText w:val=""/>
      <w:lvlJc w:val="left"/>
    </w:lvl>
    <w:lvl w:ilvl="6" w:tplc="514ADF12">
      <w:numFmt w:val="decimal"/>
      <w:lvlText w:val=""/>
      <w:lvlJc w:val="left"/>
    </w:lvl>
    <w:lvl w:ilvl="7" w:tplc="6A8E52C6">
      <w:numFmt w:val="decimal"/>
      <w:lvlText w:val=""/>
      <w:lvlJc w:val="left"/>
    </w:lvl>
    <w:lvl w:ilvl="8" w:tplc="E1BCA164">
      <w:numFmt w:val="decimal"/>
      <w:lvlText w:val=""/>
      <w:lvlJc w:val="left"/>
    </w:lvl>
  </w:abstractNum>
  <w:abstractNum w:abstractNumId="18" w15:restartNumberingAfterBreak="0">
    <w:nsid w:val="5BE6579A"/>
    <w:multiLevelType w:val="hybridMultilevel"/>
    <w:tmpl w:val="F2E86472"/>
    <w:lvl w:ilvl="0" w:tplc="083AD826">
      <w:start w:val="1"/>
      <w:numFmt w:val="decimal"/>
      <w:lvlText w:val="%1."/>
      <w:lvlJc w:val="left"/>
      <w:pPr>
        <w:ind w:left="500" w:hanging="360"/>
      </w:pPr>
    </w:lvl>
    <w:lvl w:ilvl="1" w:tplc="CAF81B3E">
      <w:numFmt w:val="decimal"/>
      <w:lvlText w:val=""/>
      <w:lvlJc w:val="left"/>
    </w:lvl>
    <w:lvl w:ilvl="2" w:tplc="8E8ACB00">
      <w:numFmt w:val="decimal"/>
      <w:lvlText w:val=""/>
      <w:lvlJc w:val="left"/>
    </w:lvl>
    <w:lvl w:ilvl="3" w:tplc="79DEAC18">
      <w:numFmt w:val="decimal"/>
      <w:lvlText w:val=""/>
      <w:lvlJc w:val="left"/>
    </w:lvl>
    <w:lvl w:ilvl="4" w:tplc="896A201E">
      <w:numFmt w:val="decimal"/>
      <w:lvlText w:val=""/>
      <w:lvlJc w:val="left"/>
    </w:lvl>
    <w:lvl w:ilvl="5" w:tplc="6D56E586">
      <w:numFmt w:val="decimal"/>
      <w:lvlText w:val=""/>
      <w:lvlJc w:val="left"/>
    </w:lvl>
    <w:lvl w:ilvl="6" w:tplc="F75E8106">
      <w:numFmt w:val="decimal"/>
      <w:lvlText w:val=""/>
      <w:lvlJc w:val="left"/>
    </w:lvl>
    <w:lvl w:ilvl="7" w:tplc="312CD5E8">
      <w:numFmt w:val="decimal"/>
      <w:lvlText w:val=""/>
      <w:lvlJc w:val="left"/>
    </w:lvl>
    <w:lvl w:ilvl="8" w:tplc="CFEAF4AA">
      <w:numFmt w:val="decimal"/>
      <w:lvlText w:val=""/>
      <w:lvlJc w:val="left"/>
    </w:lvl>
  </w:abstractNum>
  <w:abstractNum w:abstractNumId="19" w15:restartNumberingAfterBreak="0">
    <w:nsid w:val="5C823351"/>
    <w:multiLevelType w:val="hybridMultilevel"/>
    <w:tmpl w:val="EFAE9EDA"/>
    <w:lvl w:ilvl="0" w:tplc="BDB69BA2">
      <w:start w:val="1"/>
      <w:numFmt w:val="decimal"/>
      <w:lvlText w:val="%1."/>
      <w:lvlJc w:val="left"/>
      <w:pPr>
        <w:ind w:left="500" w:hanging="360"/>
      </w:pPr>
    </w:lvl>
    <w:lvl w:ilvl="1" w:tplc="0868EAE0">
      <w:numFmt w:val="decimal"/>
      <w:lvlText w:val=""/>
      <w:lvlJc w:val="left"/>
    </w:lvl>
    <w:lvl w:ilvl="2" w:tplc="1FB49A28">
      <w:numFmt w:val="decimal"/>
      <w:lvlText w:val=""/>
      <w:lvlJc w:val="left"/>
    </w:lvl>
    <w:lvl w:ilvl="3" w:tplc="7FA8F7D0">
      <w:numFmt w:val="decimal"/>
      <w:lvlText w:val=""/>
      <w:lvlJc w:val="left"/>
    </w:lvl>
    <w:lvl w:ilvl="4" w:tplc="A0241708">
      <w:numFmt w:val="decimal"/>
      <w:lvlText w:val=""/>
      <w:lvlJc w:val="left"/>
    </w:lvl>
    <w:lvl w:ilvl="5" w:tplc="08D2BFA6">
      <w:numFmt w:val="decimal"/>
      <w:lvlText w:val=""/>
      <w:lvlJc w:val="left"/>
    </w:lvl>
    <w:lvl w:ilvl="6" w:tplc="FF1C74AA">
      <w:numFmt w:val="decimal"/>
      <w:lvlText w:val=""/>
      <w:lvlJc w:val="left"/>
    </w:lvl>
    <w:lvl w:ilvl="7" w:tplc="1B7259E0">
      <w:numFmt w:val="decimal"/>
      <w:lvlText w:val=""/>
      <w:lvlJc w:val="left"/>
    </w:lvl>
    <w:lvl w:ilvl="8" w:tplc="60F05078">
      <w:numFmt w:val="decimal"/>
      <w:lvlText w:val=""/>
      <w:lvlJc w:val="left"/>
    </w:lvl>
  </w:abstractNum>
  <w:abstractNum w:abstractNumId="20" w15:restartNumberingAfterBreak="0">
    <w:nsid w:val="65D621E1"/>
    <w:multiLevelType w:val="hybridMultilevel"/>
    <w:tmpl w:val="F8BCEE24"/>
    <w:lvl w:ilvl="0" w:tplc="8A0C72FA">
      <w:start w:val="1"/>
      <w:numFmt w:val="decimal"/>
      <w:lvlText w:val="%1."/>
      <w:lvlJc w:val="left"/>
      <w:pPr>
        <w:ind w:left="500" w:hanging="360"/>
      </w:pPr>
    </w:lvl>
    <w:lvl w:ilvl="1" w:tplc="74C405EE">
      <w:numFmt w:val="decimal"/>
      <w:lvlText w:val=""/>
      <w:lvlJc w:val="left"/>
    </w:lvl>
    <w:lvl w:ilvl="2" w:tplc="E03ABA52">
      <w:numFmt w:val="decimal"/>
      <w:lvlText w:val=""/>
      <w:lvlJc w:val="left"/>
    </w:lvl>
    <w:lvl w:ilvl="3" w:tplc="4D88E9F4">
      <w:numFmt w:val="decimal"/>
      <w:lvlText w:val=""/>
      <w:lvlJc w:val="left"/>
    </w:lvl>
    <w:lvl w:ilvl="4" w:tplc="F9D885E8">
      <w:numFmt w:val="decimal"/>
      <w:lvlText w:val=""/>
      <w:lvlJc w:val="left"/>
    </w:lvl>
    <w:lvl w:ilvl="5" w:tplc="9348DCA6">
      <w:numFmt w:val="decimal"/>
      <w:lvlText w:val=""/>
      <w:lvlJc w:val="left"/>
    </w:lvl>
    <w:lvl w:ilvl="6" w:tplc="4676AB48">
      <w:numFmt w:val="decimal"/>
      <w:lvlText w:val=""/>
      <w:lvlJc w:val="left"/>
    </w:lvl>
    <w:lvl w:ilvl="7" w:tplc="90E4F664">
      <w:numFmt w:val="decimal"/>
      <w:lvlText w:val=""/>
      <w:lvlJc w:val="left"/>
    </w:lvl>
    <w:lvl w:ilvl="8" w:tplc="0922AC3E">
      <w:numFmt w:val="decimal"/>
      <w:lvlText w:val=""/>
      <w:lvlJc w:val="left"/>
    </w:lvl>
  </w:abstractNum>
  <w:abstractNum w:abstractNumId="21" w15:restartNumberingAfterBreak="0">
    <w:nsid w:val="689E4DEA"/>
    <w:multiLevelType w:val="hybridMultilevel"/>
    <w:tmpl w:val="B0A09E76"/>
    <w:lvl w:ilvl="0" w:tplc="96CED7F0">
      <w:start w:val="1"/>
      <w:numFmt w:val="decimal"/>
      <w:lvlText w:val="%1."/>
      <w:lvlJc w:val="left"/>
      <w:pPr>
        <w:ind w:left="500" w:hanging="360"/>
      </w:pPr>
    </w:lvl>
    <w:lvl w:ilvl="1" w:tplc="C10A34FE">
      <w:numFmt w:val="decimal"/>
      <w:lvlText w:val=""/>
      <w:lvlJc w:val="left"/>
    </w:lvl>
    <w:lvl w:ilvl="2" w:tplc="70E21F00">
      <w:numFmt w:val="decimal"/>
      <w:lvlText w:val=""/>
      <w:lvlJc w:val="left"/>
    </w:lvl>
    <w:lvl w:ilvl="3" w:tplc="CC88FDCC">
      <w:numFmt w:val="decimal"/>
      <w:lvlText w:val=""/>
      <w:lvlJc w:val="left"/>
    </w:lvl>
    <w:lvl w:ilvl="4" w:tplc="1D9647D2">
      <w:numFmt w:val="decimal"/>
      <w:lvlText w:val=""/>
      <w:lvlJc w:val="left"/>
    </w:lvl>
    <w:lvl w:ilvl="5" w:tplc="98F2F468">
      <w:numFmt w:val="decimal"/>
      <w:lvlText w:val=""/>
      <w:lvlJc w:val="left"/>
    </w:lvl>
    <w:lvl w:ilvl="6" w:tplc="DF0EBA0A">
      <w:numFmt w:val="decimal"/>
      <w:lvlText w:val=""/>
      <w:lvlJc w:val="left"/>
    </w:lvl>
    <w:lvl w:ilvl="7" w:tplc="805E2708">
      <w:numFmt w:val="decimal"/>
      <w:lvlText w:val=""/>
      <w:lvlJc w:val="left"/>
    </w:lvl>
    <w:lvl w:ilvl="8" w:tplc="D3B8F558">
      <w:numFmt w:val="decimal"/>
      <w:lvlText w:val=""/>
      <w:lvlJc w:val="left"/>
    </w:lvl>
  </w:abstractNum>
  <w:abstractNum w:abstractNumId="22" w15:restartNumberingAfterBreak="0">
    <w:nsid w:val="6CEB54B5"/>
    <w:multiLevelType w:val="hybridMultilevel"/>
    <w:tmpl w:val="D2BAB52E"/>
    <w:lvl w:ilvl="0" w:tplc="13120756">
      <w:start w:val="1"/>
      <w:numFmt w:val="decimal"/>
      <w:lvlText w:val="%1."/>
      <w:lvlJc w:val="left"/>
      <w:pPr>
        <w:ind w:left="500" w:hanging="360"/>
      </w:pPr>
    </w:lvl>
    <w:lvl w:ilvl="1" w:tplc="E90053C0">
      <w:numFmt w:val="decimal"/>
      <w:lvlText w:val=""/>
      <w:lvlJc w:val="left"/>
    </w:lvl>
    <w:lvl w:ilvl="2" w:tplc="77627088">
      <w:numFmt w:val="decimal"/>
      <w:lvlText w:val=""/>
      <w:lvlJc w:val="left"/>
    </w:lvl>
    <w:lvl w:ilvl="3" w:tplc="7186AA0E">
      <w:numFmt w:val="decimal"/>
      <w:lvlText w:val=""/>
      <w:lvlJc w:val="left"/>
    </w:lvl>
    <w:lvl w:ilvl="4" w:tplc="66483D96">
      <w:numFmt w:val="decimal"/>
      <w:lvlText w:val=""/>
      <w:lvlJc w:val="left"/>
    </w:lvl>
    <w:lvl w:ilvl="5" w:tplc="0080A0AA">
      <w:numFmt w:val="decimal"/>
      <w:lvlText w:val=""/>
      <w:lvlJc w:val="left"/>
    </w:lvl>
    <w:lvl w:ilvl="6" w:tplc="20CC78B6">
      <w:numFmt w:val="decimal"/>
      <w:lvlText w:val=""/>
      <w:lvlJc w:val="left"/>
    </w:lvl>
    <w:lvl w:ilvl="7" w:tplc="5FE2F5D6">
      <w:numFmt w:val="decimal"/>
      <w:lvlText w:val=""/>
      <w:lvlJc w:val="left"/>
    </w:lvl>
    <w:lvl w:ilvl="8" w:tplc="9334CE4E">
      <w:numFmt w:val="decimal"/>
      <w:lvlText w:val=""/>
      <w:lvlJc w:val="left"/>
    </w:lvl>
  </w:abstractNum>
  <w:abstractNum w:abstractNumId="23" w15:restartNumberingAfterBreak="0">
    <w:nsid w:val="71D54E54"/>
    <w:multiLevelType w:val="hybridMultilevel"/>
    <w:tmpl w:val="40743402"/>
    <w:lvl w:ilvl="0" w:tplc="BA7255A2">
      <w:start w:val="1"/>
      <w:numFmt w:val="bullet"/>
      <w:lvlText w:val="●"/>
      <w:lvlJc w:val="left"/>
      <w:pPr>
        <w:ind w:left="720" w:hanging="360"/>
      </w:pPr>
    </w:lvl>
    <w:lvl w:ilvl="1" w:tplc="B1049E4C">
      <w:start w:val="1"/>
      <w:numFmt w:val="bullet"/>
      <w:lvlText w:val="○"/>
      <w:lvlJc w:val="left"/>
      <w:pPr>
        <w:ind w:left="1440" w:hanging="360"/>
      </w:pPr>
    </w:lvl>
    <w:lvl w:ilvl="2" w:tplc="58DA1CAE">
      <w:start w:val="1"/>
      <w:numFmt w:val="bullet"/>
      <w:lvlText w:val="■"/>
      <w:lvlJc w:val="left"/>
      <w:pPr>
        <w:ind w:left="2160" w:hanging="360"/>
      </w:pPr>
    </w:lvl>
    <w:lvl w:ilvl="3" w:tplc="9AF05398">
      <w:start w:val="1"/>
      <w:numFmt w:val="bullet"/>
      <w:lvlText w:val="●"/>
      <w:lvlJc w:val="left"/>
      <w:pPr>
        <w:ind w:left="2880" w:hanging="360"/>
      </w:pPr>
    </w:lvl>
    <w:lvl w:ilvl="4" w:tplc="6122DE64">
      <w:start w:val="1"/>
      <w:numFmt w:val="bullet"/>
      <w:lvlText w:val="○"/>
      <w:lvlJc w:val="left"/>
      <w:pPr>
        <w:ind w:left="3600" w:hanging="360"/>
      </w:pPr>
    </w:lvl>
    <w:lvl w:ilvl="5" w:tplc="2CC85E76">
      <w:start w:val="1"/>
      <w:numFmt w:val="bullet"/>
      <w:lvlText w:val="■"/>
      <w:lvlJc w:val="left"/>
      <w:pPr>
        <w:ind w:left="4320" w:hanging="360"/>
      </w:pPr>
    </w:lvl>
    <w:lvl w:ilvl="6" w:tplc="618CA9A8">
      <w:start w:val="1"/>
      <w:numFmt w:val="bullet"/>
      <w:lvlText w:val="●"/>
      <w:lvlJc w:val="left"/>
      <w:pPr>
        <w:ind w:left="5040" w:hanging="360"/>
      </w:pPr>
    </w:lvl>
    <w:lvl w:ilvl="7" w:tplc="217E5022">
      <w:start w:val="1"/>
      <w:numFmt w:val="bullet"/>
      <w:lvlText w:val="●"/>
      <w:lvlJc w:val="left"/>
      <w:pPr>
        <w:ind w:left="5760" w:hanging="360"/>
      </w:pPr>
    </w:lvl>
    <w:lvl w:ilvl="8" w:tplc="82883B20">
      <w:start w:val="1"/>
      <w:numFmt w:val="bullet"/>
      <w:lvlText w:val="●"/>
      <w:lvlJc w:val="left"/>
      <w:pPr>
        <w:ind w:left="6480" w:hanging="360"/>
      </w:pPr>
    </w:lvl>
  </w:abstractNum>
  <w:abstractNum w:abstractNumId="24" w15:restartNumberingAfterBreak="0">
    <w:nsid w:val="79AB678E"/>
    <w:multiLevelType w:val="hybridMultilevel"/>
    <w:tmpl w:val="FAD0BDEC"/>
    <w:lvl w:ilvl="0" w:tplc="A1049CC6">
      <w:start w:val="1"/>
      <w:numFmt w:val="decimal"/>
      <w:lvlText w:val="%1."/>
      <w:lvlJc w:val="left"/>
      <w:pPr>
        <w:ind w:left="500" w:hanging="360"/>
      </w:pPr>
    </w:lvl>
    <w:lvl w:ilvl="1" w:tplc="D0CA8F22">
      <w:numFmt w:val="decimal"/>
      <w:lvlText w:val=""/>
      <w:lvlJc w:val="left"/>
    </w:lvl>
    <w:lvl w:ilvl="2" w:tplc="A2FAFD96">
      <w:numFmt w:val="decimal"/>
      <w:lvlText w:val=""/>
      <w:lvlJc w:val="left"/>
    </w:lvl>
    <w:lvl w:ilvl="3" w:tplc="00B0D18C">
      <w:numFmt w:val="decimal"/>
      <w:lvlText w:val=""/>
      <w:lvlJc w:val="left"/>
    </w:lvl>
    <w:lvl w:ilvl="4" w:tplc="A74C873A">
      <w:numFmt w:val="decimal"/>
      <w:lvlText w:val=""/>
      <w:lvlJc w:val="left"/>
    </w:lvl>
    <w:lvl w:ilvl="5" w:tplc="2DB4E0AC">
      <w:numFmt w:val="decimal"/>
      <w:lvlText w:val=""/>
      <w:lvlJc w:val="left"/>
    </w:lvl>
    <w:lvl w:ilvl="6" w:tplc="B6543A02">
      <w:numFmt w:val="decimal"/>
      <w:lvlText w:val=""/>
      <w:lvlJc w:val="left"/>
    </w:lvl>
    <w:lvl w:ilvl="7" w:tplc="CA0A7F68">
      <w:numFmt w:val="decimal"/>
      <w:lvlText w:val=""/>
      <w:lvlJc w:val="left"/>
    </w:lvl>
    <w:lvl w:ilvl="8" w:tplc="20DE56A0">
      <w:numFmt w:val="decimal"/>
      <w:lvlText w:val=""/>
      <w:lvlJc w:val="left"/>
    </w:lvl>
  </w:abstractNum>
  <w:abstractNum w:abstractNumId="25" w15:restartNumberingAfterBreak="0">
    <w:nsid w:val="7B2C0DCB"/>
    <w:multiLevelType w:val="hybridMultilevel"/>
    <w:tmpl w:val="D2CC902A"/>
    <w:lvl w:ilvl="0" w:tplc="18A825AE">
      <w:start w:val="1"/>
      <w:numFmt w:val="decimal"/>
      <w:lvlText w:val="%1."/>
      <w:lvlJc w:val="left"/>
      <w:pPr>
        <w:ind w:left="500" w:hanging="360"/>
      </w:pPr>
    </w:lvl>
    <w:lvl w:ilvl="1" w:tplc="EF6A6DFE">
      <w:numFmt w:val="decimal"/>
      <w:lvlText w:val=""/>
      <w:lvlJc w:val="left"/>
    </w:lvl>
    <w:lvl w:ilvl="2" w:tplc="0C9C1FA6">
      <w:numFmt w:val="decimal"/>
      <w:lvlText w:val=""/>
      <w:lvlJc w:val="left"/>
    </w:lvl>
    <w:lvl w:ilvl="3" w:tplc="AD0E873C">
      <w:numFmt w:val="decimal"/>
      <w:lvlText w:val=""/>
      <w:lvlJc w:val="left"/>
    </w:lvl>
    <w:lvl w:ilvl="4" w:tplc="8B105978">
      <w:numFmt w:val="decimal"/>
      <w:lvlText w:val=""/>
      <w:lvlJc w:val="left"/>
    </w:lvl>
    <w:lvl w:ilvl="5" w:tplc="D1AAEA18">
      <w:numFmt w:val="decimal"/>
      <w:lvlText w:val=""/>
      <w:lvlJc w:val="left"/>
    </w:lvl>
    <w:lvl w:ilvl="6" w:tplc="41EC6AAA">
      <w:numFmt w:val="decimal"/>
      <w:lvlText w:val=""/>
      <w:lvlJc w:val="left"/>
    </w:lvl>
    <w:lvl w:ilvl="7" w:tplc="848EDFC8">
      <w:numFmt w:val="decimal"/>
      <w:lvlText w:val=""/>
      <w:lvlJc w:val="left"/>
    </w:lvl>
    <w:lvl w:ilvl="8" w:tplc="AC8E6320">
      <w:numFmt w:val="decimal"/>
      <w:lvlText w:val=""/>
      <w:lvlJc w:val="left"/>
    </w:lvl>
  </w:abstractNum>
  <w:num w:numId="1" w16cid:durableId="1651132489">
    <w:abstractNumId w:val="23"/>
    <w:lvlOverride w:ilvl="0">
      <w:startOverride w:val="1"/>
    </w:lvlOverride>
  </w:num>
  <w:num w:numId="2" w16cid:durableId="201748661">
    <w:abstractNumId w:val="0"/>
    <w:lvlOverride w:ilvl="0">
      <w:startOverride w:val="1"/>
    </w:lvlOverride>
  </w:num>
  <w:num w:numId="3" w16cid:durableId="1267617844">
    <w:abstractNumId w:val="17"/>
    <w:lvlOverride w:ilvl="0">
      <w:startOverride w:val="1"/>
    </w:lvlOverride>
  </w:num>
  <w:num w:numId="4" w16cid:durableId="859591021">
    <w:abstractNumId w:val="8"/>
    <w:lvlOverride w:ilvl="0">
      <w:startOverride w:val="1"/>
    </w:lvlOverride>
  </w:num>
  <w:num w:numId="5" w16cid:durableId="1650095051">
    <w:abstractNumId w:val="20"/>
    <w:lvlOverride w:ilvl="0">
      <w:startOverride w:val="1"/>
    </w:lvlOverride>
  </w:num>
  <w:num w:numId="6" w16cid:durableId="1587377076">
    <w:abstractNumId w:val="4"/>
    <w:lvlOverride w:ilvl="0">
      <w:startOverride w:val="1"/>
    </w:lvlOverride>
  </w:num>
  <w:num w:numId="7" w16cid:durableId="1272666521">
    <w:abstractNumId w:val="3"/>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9"/>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68D"/>
    <w:rsid w:val="000F1F44"/>
    <w:rsid w:val="0069568D"/>
    <w:rsid w:val="00820F0E"/>
    <w:rsid w:val="024BBEEE"/>
    <w:rsid w:val="0C3E8167"/>
    <w:rsid w:val="207FA6A6"/>
    <w:rsid w:val="5B48862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F6A1550"/>
  <w15:docId w15:val="{F877C57E-5EE7-CB43-ADC0-EED880C2A0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Calibri"/>
        <w:sz w:val="22"/>
        <w:szCs w:val="22"/>
        <w:lang w:val="en-CA"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Dave Woode</lastModifiedBy>
  <revision>3</revision>
  <dcterms:created xsi:type="dcterms:W3CDTF">2026-08-10T18:22:00.0000000Z</dcterms:created>
  <dcterms:modified xsi:type="dcterms:W3CDTF">2026-09-14T17:43:03.7960257Z</dcterms:modified>
</coreProperties>
</file>