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73695" w:rsidR="00F73695" w:rsidP="3F0DCF76" w:rsidRDefault="000D143B" w14:paraId="182DA81D" w14:textId="3526B87D">
      <w:pPr>
        <w:pStyle w:val="Normal"/>
        <w:jc w:val="center"/>
        <w:rPr>
          <w:rFonts w:ascii="Calibri" w:hAnsi="Calibri" w:cs="Calibri" w:asciiTheme="minorAscii" w:hAnsiTheme="minorAscii" w:cstheme="minorAscii"/>
        </w:rPr>
      </w:pPr>
      <w:r w:rsidRPr="3F0DCF76" w:rsidR="5345A667">
        <w:rPr>
          <w:rFonts w:ascii="Calibri" w:hAnsi="Calibri" w:cs="Calibri" w:asciiTheme="minorAscii" w:hAnsiTheme="minorAscii" w:cstheme="minorAscii"/>
          <w:b w:val="1"/>
          <w:bCs w:val="1"/>
        </w:rPr>
        <w:t>Advancing Breast Imaging and Intervention: Integrating Guidelines, Biopsy Techniques, and Surgical Localization</w:t>
      </w:r>
    </w:p>
    <w:p w:rsidRPr="00F73695" w:rsidR="00F73695" w:rsidP="00F73695" w:rsidRDefault="00F73695" w14:paraId="2A9712F7" w14:textId="77777777">
      <w:pPr>
        <w:rPr>
          <w:rFonts w:asciiTheme="minorHAnsi" w:hAnsiTheme="minorHAnsi" w:cstheme="minorHAnsi"/>
        </w:rPr>
      </w:pPr>
    </w:p>
    <w:p w:rsidRPr="000D143B" w:rsidR="000D143B" w:rsidP="000D143B" w:rsidRDefault="00F73695" w14:paraId="7CF70422" w14:textId="71827246">
      <w:pPr>
        <w:rPr>
          <w:rFonts w:asciiTheme="minorHAnsi" w:hAnsiTheme="minorHAnsi" w:cstheme="minorHAnsi"/>
          <w:b/>
          <w:bCs/>
        </w:rPr>
      </w:pPr>
      <w:r>
        <w:rPr>
          <w:rFonts w:asciiTheme="minorHAnsi" w:hAnsiTheme="minorHAnsi" w:cstheme="minorHAnsi"/>
          <w:b/>
          <w:bCs/>
        </w:rPr>
        <w:t>Learning Objectives</w:t>
      </w:r>
    </w:p>
    <w:p w:rsidRPr="000D143B" w:rsidR="000D143B" w:rsidP="000D143B" w:rsidRDefault="000D143B" w14:paraId="31F70122" w14:textId="1B965688">
      <w:pPr>
        <w:pStyle w:val="ListParagraph"/>
        <w:numPr>
          <w:ilvl w:val="0"/>
          <w:numId w:val="6"/>
        </w:numPr>
        <w:rPr>
          <w:rFonts w:asciiTheme="minorHAnsi" w:hAnsiTheme="minorHAnsi" w:cstheme="minorHAnsi"/>
        </w:rPr>
      </w:pPr>
      <w:r>
        <w:rPr>
          <w:rFonts w:asciiTheme="minorHAnsi" w:hAnsiTheme="minorHAnsi" w:cstheme="minorHAnsi"/>
        </w:rPr>
        <w:t xml:space="preserve">Implement evolving international guidelines for the diagnosis and management of indeterminate (B3) breast lesions to improve clinical decision-making and patient outcomes. </w:t>
      </w:r>
    </w:p>
    <w:p w:rsidRPr="000D143B" w:rsidR="000D143B" w:rsidP="000D143B" w:rsidRDefault="000D143B" w14:paraId="50F72A59" w14:textId="6452A100">
      <w:pPr>
        <w:pStyle w:val="ListParagraph"/>
        <w:numPr>
          <w:ilvl w:val="0"/>
          <w:numId w:val="6"/>
        </w:numPr>
        <w:rPr>
          <w:rFonts w:asciiTheme="minorHAnsi" w:hAnsiTheme="minorHAnsi" w:cstheme="minorHAnsi"/>
        </w:rPr>
      </w:pPr>
      <w:r>
        <w:rPr>
          <w:rFonts w:asciiTheme="minorHAnsi" w:hAnsiTheme="minorHAnsi" w:cstheme="minorHAnsi"/>
        </w:rPr>
        <w:t xml:space="preserve">Enhance technical proficiency in ultrasound-guided core biopsy, vacuum-assisted biopsy, and localization techniques (hook wire and wire-free) through hands-on training and expert-led discussions. </w:t>
      </w:r>
    </w:p>
    <w:p w:rsidR="00F73695" w:rsidP="000D143B" w:rsidRDefault="000D143B" w14:paraId="2715D34F" w14:textId="79D08E7C">
      <w:pPr>
        <w:pStyle w:val="ListParagraph"/>
        <w:numPr>
          <w:ilvl w:val="0"/>
          <w:numId w:val="6"/>
        </w:numPr>
        <w:rPr>
          <w:rFonts w:asciiTheme="minorHAnsi" w:hAnsiTheme="minorHAnsi" w:cstheme="minorHAnsi"/>
        </w:rPr>
      </w:pPr>
      <w:r>
        <w:rPr>
          <w:rFonts w:asciiTheme="minorHAnsi" w:hAnsiTheme="minorHAnsi" w:cstheme="minorHAnsi"/>
        </w:rPr>
        <w:t xml:space="preserve">Foster interdisciplinary collaboration between radiologists and surgeons to optimize the use of breast tissue markers, biopsy techniques, and localization strategies for improved surgical planning.</w:t>
      </w:r>
    </w:p>
    <w:p w:rsidRPr="000D143B" w:rsidR="000D143B" w:rsidP="000D143B" w:rsidRDefault="000D143B" w14:paraId="6A35CA94" w14:textId="77777777">
      <w:pPr>
        <w:pStyle w:val="ListParagraph"/>
        <w:rPr>
          <w:rFonts w:asciiTheme="minorHAnsi" w:hAnsiTheme="minorHAnsi" w:cstheme="minorHAnsi"/>
        </w:rPr>
      </w:pPr>
    </w:p>
    <w:tbl>
      <w:tblPr>
        <w:tblW w:w="9950" w:type="dxa"/>
        <w:tblCellSpacing w:w="15" w:type="dxa"/>
        <w:tblInd w:w="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225"/>
        <w:gridCol w:w="3046"/>
        <w:gridCol w:w="3679"/>
      </w:tblGrid>
      <w:tr w:rsidRPr="00F73695" w:rsidR="00F73695" w:rsidTr="3F0DCF76" w14:paraId="51C238C0" w14:textId="77777777">
        <w:trPr>
          <w:trHeight w:val="63"/>
          <w:tblCellSpacing w:w="15" w:type="dxa"/>
        </w:trPr>
        <w:tc>
          <w:tcPr>
            <w:tcW w:w="9890" w:type="dxa"/>
            <w:gridSpan w:val="3"/>
            <w:tcBorders>
              <w:top w:val="single" w:color="auto" w:sz="12" w:space="0"/>
              <w:bottom w:val="single" w:color="auto" w:sz="12" w:space="0"/>
            </w:tcBorders>
            <w:tcMar>
              <w:top w:w="25" w:type="dxa"/>
              <w:left w:w="25" w:type="dxa"/>
              <w:bottom w:w="25" w:type="dxa"/>
              <w:right w:w="25" w:type="dxa"/>
            </w:tcMar>
            <w:vAlign w:val="center"/>
          </w:tcPr>
          <w:p w:rsidR="00F73695" w:rsidP="00161CB1" w:rsidRDefault="00F73695" w14:paraId="3FBF5C24" w14:textId="77777777">
            <w:pPr>
              <w:rPr>
                <w:rFonts w:asciiTheme="minorHAnsi" w:hAnsiTheme="minorHAnsi" w:cstheme="minorHAnsi"/>
                <w:color w:val="000000" w:themeColor="text1"/>
                <w:szCs w:val="22"/>
                <w:shd w:val="clear" w:color="auto" w:fill="FFFFFF"/>
              </w:rPr>
            </w:pPr>
            <w:r>
              <w:rPr>
                <w:rFonts w:asciiTheme="minorHAnsi" w:hAnsiTheme="minorHAnsi" w:cstheme="minorHAnsi"/>
                <w:b/>
                <w:bCs/>
                <w:color w:val="000000" w:themeColor="text1"/>
                <w:szCs w:val="22"/>
                <w:shd w:val="clear" w:color="auto" w:fill="FFFFFF"/>
              </w:rPr>
              <w:t xml:space="preserve">Clinical Practice Gap 1: </w:t>
            </w:r>
            <w:r>
              <w:rPr>
                <w:rFonts w:asciiTheme="minorHAnsi" w:hAnsiTheme="minorHAnsi" w:cstheme="minorHAnsi"/>
                <w:color w:val="000000" w:themeColor="text1"/>
                <w:szCs w:val="22"/>
                <w:shd w:val="clear" w:color="auto" w:fill="FFFFFF"/>
              </w:rPr>
              <w:t>Radiologists and surgeons often face variability in the diagnosis and management of indeterminate (B3) breast lesions, resulting in inconsistent risk stratification, biopsy decision-making, and patient outcomes. This gap in practice is primarily due to a lack of standardized understanding and implementation of evolving international guidelines for B3 lesions.</w:t>
            </w:r>
          </w:p>
          <w:p w:rsidRPr="00F73695" w:rsidR="000D143B" w:rsidP="00161CB1" w:rsidRDefault="000D143B" w14:paraId="0B5833A7" w14:textId="3FBFBD42">
            <w:pPr>
              <w:rPr>
                <w:rFonts w:asciiTheme="minorHAnsi" w:hAnsiTheme="minorHAnsi" w:cstheme="minorHAnsi"/>
                <w:color w:val="000000" w:themeColor="text1"/>
                <w:szCs w:val="22"/>
                <w:shd w:val="clear" w:color="auto" w:fill="FFFFFF"/>
              </w:rPr>
            </w:pPr>
          </w:p>
        </w:tc>
      </w:tr>
      <w:tr w:rsidRPr="00F73695" w:rsidR="00F73695" w:rsidTr="3F0DCF76" w14:paraId="50E32794" w14:textId="77777777">
        <w:trPr>
          <w:trHeight w:val="63"/>
          <w:tblCellSpacing w:w="15" w:type="dxa"/>
        </w:trPr>
        <w:tc>
          <w:tcPr>
            <w:tcW w:w="3180" w:type="dxa"/>
            <w:tcBorders>
              <w:top w:val="single" w:color="auto" w:sz="12" w:space="0"/>
              <w:bottom w:val="single" w:color="auto" w:sz="12" w:space="0"/>
            </w:tcBorders>
            <w:tcMar>
              <w:top w:w="25" w:type="dxa"/>
              <w:left w:w="25" w:type="dxa"/>
              <w:bottom w:w="25" w:type="dxa"/>
              <w:right w:w="25" w:type="dxa"/>
            </w:tcMar>
            <w:vAlign w:val="center"/>
          </w:tcPr>
          <w:p w:rsidRPr="00F73695" w:rsidR="00F73695" w:rsidP="00161CB1" w:rsidRDefault="00F73695" w14:paraId="2308089A" w14:textId="77777777">
            <w:pPr>
              <w:rPr>
                <w:rFonts w:asciiTheme="minorHAnsi" w:hAnsiTheme="minorHAnsi" w:cstheme="minorHAnsi"/>
                <w:b/>
              </w:rPr>
            </w:pPr>
            <w:r>
              <w:rPr>
                <w:rFonts w:asciiTheme="minorHAnsi" w:hAnsiTheme="minorHAnsi" w:cstheme="minorHAnsi"/>
                <w:b/>
                <w:bCs/>
              </w:rPr>
              <w:t> Educational Need</w:t>
            </w:r>
          </w:p>
        </w:tc>
        <w:tc>
          <w:tcPr>
            <w:tcW w:w="3016" w:type="dxa"/>
            <w:tcBorders>
              <w:top w:val="single" w:color="auto" w:sz="12" w:space="0"/>
              <w:bottom w:val="single" w:color="auto" w:sz="12" w:space="0"/>
            </w:tcBorders>
            <w:tcMar>
              <w:top w:w="15" w:type="dxa"/>
              <w:left w:w="15" w:type="dxa"/>
              <w:bottom w:w="15" w:type="dxa"/>
              <w:right w:w="15" w:type="dxa"/>
            </w:tcMar>
            <w:vAlign w:val="center"/>
          </w:tcPr>
          <w:p w:rsidRPr="00F73695" w:rsidR="00F73695" w:rsidP="00161CB1" w:rsidRDefault="00F73695" w14:paraId="063EB02D" w14:textId="77777777">
            <w:pPr>
              <w:rPr>
                <w:rFonts w:asciiTheme="minorHAnsi" w:hAnsiTheme="minorHAnsi" w:cstheme="minorHAnsi"/>
              </w:rPr>
            </w:pPr>
            <w:r>
              <w:rPr>
                <w:rFonts w:asciiTheme="minorHAnsi" w:hAnsiTheme="minorHAnsi" w:cstheme="minorHAnsi"/>
                <w:b/>
                <w:bCs/>
              </w:rPr>
              <w:t>Learning Objectives</w:t>
            </w:r>
          </w:p>
        </w:tc>
        <w:tc>
          <w:tcPr>
            <w:tcW w:w="3634" w:type="dxa"/>
            <w:tcBorders>
              <w:top w:val="single" w:color="auto" w:sz="12" w:space="0"/>
              <w:bottom w:val="single" w:color="auto" w:sz="12" w:space="0"/>
            </w:tcBorders>
            <w:tcMar>
              <w:top w:w="15" w:type="dxa"/>
              <w:left w:w="15" w:type="dxa"/>
              <w:bottom w:w="15" w:type="dxa"/>
              <w:right w:w="15" w:type="dxa"/>
            </w:tcMar>
            <w:vAlign w:val="center"/>
          </w:tcPr>
          <w:p w:rsidRPr="00F73695" w:rsidR="00F73695" w:rsidP="00161CB1" w:rsidRDefault="00F73695" w14:paraId="2DF9529D" w14:textId="77777777">
            <w:pPr>
              <w:rPr>
                <w:rFonts w:asciiTheme="minorHAnsi" w:hAnsiTheme="minorHAnsi" w:cstheme="minorHAnsi"/>
              </w:rPr>
            </w:pPr>
            <w:r>
              <w:rPr>
                <w:rFonts w:asciiTheme="minorHAnsi" w:hAnsiTheme="minorHAnsi" w:cstheme="minorHAnsi"/>
                <w:b/>
                <w:bCs/>
              </w:rPr>
              <w:t>Outcomes Measurement</w:t>
            </w:r>
          </w:p>
        </w:tc>
      </w:tr>
      <w:tr w:rsidRPr="00F73695" w:rsidR="00F73695" w:rsidTr="3F0DCF76" w14:paraId="43A73153" w14:textId="77777777">
        <w:trPr>
          <w:trHeight w:val="1658"/>
          <w:tblCellSpacing w:w="15" w:type="dxa"/>
        </w:trPr>
        <w:tc>
          <w:tcPr>
            <w:tcW w:w="3180" w:type="dxa"/>
            <w:tcBorders>
              <w:top w:val="single" w:color="auto" w:sz="12" w:space="0"/>
            </w:tcBorders>
            <w:tcMar>
              <w:top w:w="25" w:type="dxa"/>
              <w:left w:w="25" w:type="dxa"/>
              <w:bottom w:w="25" w:type="dxa"/>
              <w:right w:w="25" w:type="dxa"/>
            </w:tcMar>
          </w:tcPr>
          <w:p w:rsidRPr="00F73695" w:rsidR="00F73695" w:rsidP="00161CB1" w:rsidRDefault="000D143B" w14:paraId="35722ABD" w14:textId="606316AF">
            <w:pPr>
              <w:rPr>
                <w:rFonts w:asciiTheme="minorHAnsi" w:hAnsiTheme="minorHAnsi" w:cstheme="minorHAnsi"/>
              </w:rPr>
            </w:pPr>
            <w:r>
              <w:rPr>
                <w:rFonts w:asciiTheme="minorHAnsi" w:hAnsiTheme="minorHAnsi" w:cstheme="minorHAnsi"/>
              </w:rPr>
              <w:t>Radiologists and surgeons need education on evolving international guidelines for diagnosing and managing B3 lesions to ensure consistent risk stratification, biopsy decision-making, and patient management.</w:t>
            </w:r>
          </w:p>
        </w:tc>
        <w:tc>
          <w:tcPr>
            <w:tcW w:w="3016" w:type="dxa"/>
            <w:tcBorders>
              <w:top w:val="single" w:color="auto" w:sz="12" w:space="0"/>
            </w:tcBorders>
            <w:tcMar>
              <w:top w:w="15" w:type="dxa"/>
              <w:left w:w="15" w:type="dxa"/>
              <w:bottom w:w="15" w:type="dxa"/>
              <w:right w:w="15" w:type="dxa"/>
            </w:tcMar>
          </w:tcPr>
          <w:p w:rsidR="000D143B" w:rsidP="00161CB1" w:rsidRDefault="000D143B" w14:paraId="17EB729B" w14:textId="4ACF1750">
            <w:pPr>
              <w:rPr>
                <w:rFonts w:asciiTheme="minorHAnsi" w:hAnsiTheme="minorHAnsi" w:cstheme="minorHAnsi"/>
                <w:szCs w:val="22"/>
              </w:rPr>
            </w:pPr>
            <w:r>
              <w:rPr>
                <w:rFonts w:asciiTheme="minorHAnsi" w:hAnsiTheme="minorHAnsi" w:cstheme="minorHAnsi"/>
                <w:szCs w:val="22"/>
              </w:rPr>
              <w:t xml:space="preserve">- Describe the latest recommendations for the classification and management of B3 lesions.</w:t>
            </w:r>
          </w:p>
          <w:p w:rsidRPr="00F73695" w:rsidR="00F73695" w:rsidP="00161CB1" w:rsidRDefault="000D143B" w14:paraId="299E490E" w14:textId="054DE233">
            <w:pPr>
              <w:rPr>
                <w:rFonts w:asciiTheme="minorHAnsi" w:hAnsiTheme="minorHAnsi" w:cstheme="minorHAnsi"/>
              </w:rPr>
            </w:pPr>
            <w:r>
              <w:rPr>
                <w:rFonts w:asciiTheme="minorHAnsi" w:hAnsiTheme="minorHAnsi" w:cstheme="minorHAnsi"/>
                <w:szCs w:val="22"/>
              </w:rPr>
              <w:t xml:space="preserve"> </w:t>
            </w:r>
            <w:r>
              <w:rPr>
                <w:rFonts w:asciiTheme="minorHAnsi" w:hAnsiTheme="minorHAnsi" w:cstheme="minorHAnsi"/>
                <w:szCs w:val="22"/>
              </w:rPr>
              <w:br/>
            </w:r>
            <w:r>
              <w:rPr>
                <w:rFonts w:asciiTheme="minorHAnsi" w:hAnsiTheme="minorHAnsi" w:cstheme="minorHAnsi"/>
                <w:szCs w:val="22"/>
              </w:rPr>
              <w:t>- Identify appropriate indications for biopsy, surveillance, and surgical excision of B3 lesions based on risk assessment.</w:t>
            </w:r>
          </w:p>
        </w:tc>
        <w:tc>
          <w:tcPr>
            <w:tcW w:w="3634" w:type="dxa"/>
            <w:tcBorders>
              <w:top w:val="single" w:color="auto" w:sz="12" w:space="0"/>
            </w:tcBorders>
            <w:tcMar>
              <w:top w:w="15" w:type="dxa"/>
              <w:left w:w="15" w:type="dxa"/>
              <w:bottom w:w="15" w:type="dxa"/>
              <w:right w:w="15" w:type="dxa"/>
            </w:tcMar>
          </w:tcPr>
          <w:p w:rsidRPr="00C756D8" w:rsidR="00274B49" w:rsidP="00161CB1" w:rsidRDefault="00274B49" w14:paraId="5693101E" w14:textId="6BE360BB">
            <w:pPr>
              <w:rPr>
                <w:rFonts w:asciiTheme="minorHAnsi" w:hAnsiTheme="minorHAnsi" w:cstheme="minorHAnsi"/>
              </w:rPr>
            </w:pPr>
            <w:r>
              <w:rPr>
                <w:rFonts w:asciiTheme="minorHAnsi" w:hAnsiTheme="minorHAnsi" w:cstheme="minorHAnsi"/>
              </w:rPr>
              <w:t xml:space="preserve">Level 4 (competency) / Level 5 (performance): </w:t>
            </w:r>
          </w:p>
          <w:p w:rsidRPr="00F73695" w:rsidR="00F73695" w:rsidP="00161CB1" w:rsidRDefault="00274B49" w14:paraId="25D3A680" w14:textId="0A89767B">
            <w:pPr>
              <w:rPr>
                <w:rFonts w:asciiTheme="minorHAnsi" w:hAnsiTheme="minorHAnsi" w:cstheme="minorHAnsi"/>
              </w:rPr>
            </w:pPr>
            <w:r>
              <w:rPr>
                <w:rFonts w:asciiTheme="minorHAnsi" w:hAnsiTheme="minorHAnsi" w:cstheme="minorHAnsi"/>
              </w:rPr>
              <w:t>Case-based multiple-choice questions designed to assess changes in learner competence and performance with the application of updated B3 lesion guidelines in clinical decision-making.</w:t>
            </w:r>
          </w:p>
        </w:tc>
      </w:tr>
      <w:tr w:rsidRPr="00F73695" w:rsidR="00F73695" w:rsidTr="3F0DCF76" w14:paraId="50FE3C32" w14:textId="77777777">
        <w:trPr>
          <w:trHeight w:val="63"/>
          <w:tblCellSpacing w:w="15" w:type="dxa"/>
        </w:trPr>
        <w:tc>
          <w:tcPr>
            <w:tcW w:w="9890" w:type="dxa"/>
            <w:gridSpan w:val="3"/>
            <w:tcBorders>
              <w:bottom w:val="single" w:color="auto" w:sz="12" w:space="0"/>
            </w:tcBorders>
            <w:tcMar>
              <w:top w:w="25" w:type="dxa"/>
              <w:left w:w="25" w:type="dxa"/>
              <w:bottom w:w="25" w:type="dxa"/>
              <w:right w:w="25" w:type="dxa"/>
            </w:tcMar>
          </w:tcPr>
          <w:p w:rsidR="00274B49" w:rsidP="00161CB1" w:rsidRDefault="00F73695" w14:paraId="44B586CC" w14:textId="77777777">
            <w:pPr>
              <w:rPr>
                <w:rFonts w:asciiTheme="minorHAnsi" w:hAnsiTheme="minorHAnsi" w:cstheme="minorHAnsi"/>
              </w:rPr>
            </w:pPr>
            <w:r>
              <w:rPr>
                <w:rFonts w:asciiTheme="minorHAnsi" w:hAnsiTheme="minorHAnsi" w:cstheme="minorHAnsi"/>
                <w:b/>
                <w:bCs/>
              </w:rPr>
              <w:t xml:space="preserve">Clinical Practice Gap 2: </w:t>
            </w:r>
            <w:r>
              <w:rPr>
                <w:rFonts w:asciiTheme="minorHAnsi" w:hAnsiTheme="minorHAnsi" w:cstheme="minorHAnsi"/>
              </w:rPr>
              <w:t>There is a significant gap in proficiency among radiologists regarding ultrasound-guided core biopsies, vacuum-assisted biopsies, and localization techniques (hook wire and wire-free), which leads to suboptimal sample retrieval, inaccurate lesion targeting, and potential misdiagnosis or unnecessary procedures.</w:t>
            </w:r>
          </w:p>
          <w:p w:rsidR="00A1564F" w:rsidP="00161CB1" w:rsidRDefault="00A1564F" w14:paraId="5BC35728" w14:textId="77777777">
            <w:pPr>
              <w:rPr>
                <w:rFonts w:asciiTheme="minorHAnsi" w:hAnsiTheme="minorHAnsi" w:cstheme="minorHAnsi"/>
              </w:rPr>
            </w:pPr>
          </w:p>
          <w:p w:rsidRPr="00F73695" w:rsidR="00A1564F" w:rsidP="3F0DCF76" w:rsidRDefault="00A1564F" w14:paraId="18B1AEAF" w14:textId="6F6FA4AD">
            <w:pPr>
              <w:rPr>
                <w:rFonts w:ascii="Calibri" w:hAnsi="Calibri" w:cs="Calibri" w:asciiTheme="minorAscii" w:hAnsiTheme="minorAscii" w:cstheme="minorAscii"/>
              </w:rPr>
            </w:pPr>
          </w:p>
          <w:p w:rsidRPr="00F73695" w:rsidR="00A1564F" w:rsidP="3F0DCF76" w:rsidRDefault="00A1564F" w14:paraId="001C192B" w14:textId="0AC1EBBC">
            <w:pPr>
              <w:rPr>
                <w:rFonts w:ascii="Calibri" w:hAnsi="Calibri" w:cs="Calibri" w:asciiTheme="minorAscii" w:hAnsiTheme="minorAscii" w:cstheme="minorAscii"/>
              </w:rPr>
            </w:pPr>
          </w:p>
        </w:tc>
      </w:tr>
      <w:tr w:rsidRPr="00F73695" w:rsidR="00F73695" w:rsidTr="3F0DCF76" w14:paraId="1F48C573" w14:textId="77777777">
        <w:trPr>
          <w:trHeight w:val="63"/>
          <w:tblCellSpacing w:w="15" w:type="dxa"/>
        </w:trPr>
        <w:tc>
          <w:tcPr>
            <w:tcW w:w="3180" w:type="dxa"/>
            <w:tcBorders>
              <w:top w:val="single" w:color="auto" w:sz="12" w:space="0"/>
              <w:bottom w:val="single" w:color="auto" w:sz="12" w:space="0"/>
            </w:tcBorders>
            <w:tcMar>
              <w:top w:w="25" w:type="dxa"/>
              <w:left w:w="25" w:type="dxa"/>
              <w:bottom w:w="25" w:type="dxa"/>
              <w:right w:w="25" w:type="dxa"/>
            </w:tcMar>
            <w:vAlign w:val="center"/>
          </w:tcPr>
          <w:p w:rsidRPr="00F73695" w:rsidR="00F73695" w:rsidP="00161CB1" w:rsidRDefault="00F73695" w14:paraId="44581F22" w14:textId="77777777">
            <w:pPr>
              <w:rPr>
                <w:rFonts w:asciiTheme="minorHAnsi" w:hAnsiTheme="minorHAnsi" w:cstheme="minorHAnsi"/>
              </w:rPr>
            </w:pPr>
            <w:r>
              <w:rPr>
                <w:rFonts w:asciiTheme="minorHAnsi" w:hAnsiTheme="minorHAnsi" w:cstheme="minorHAnsi"/>
                <w:b/>
                <w:bCs/>
              </w:rPr>
              <w:t> Educational Need</w:t>
            </w:r>
          </w:p>
        </w:tc>
        <w:tc>
          <w:tcPr>
            <w:tcW w:w="3016" w:type="dxa"/>
            <w:tcBorders>
              <w:top w:val="single" w:color="auto" w:sz="12" w:space="0"/>
              <w:bottom w:val="single" w:color="auto" w:sz="12" w:space="0"/>
            </w:tcBorders>
            <w:tcMar>
              <w:top w:w="15" w:type="dxa"/>
              <w:left w:w="15" w:type="dxa"/>
              <w:bottom w:w="15" w:type="dxa"/>
              <w:right w:w="15" w:type="dxa"/>
            </w:tcMar>
            <w:vAlign w:val="center"/>
          </w:tcPr>
          <w:p w:rsidRPr="00F73695" w:rsidR="00F73695" w:rsidP="00161CB1" w:rsidRDefault="00F73695" w14:paraId="03AF42D5" w14:textId="77777777">
            <w:pPr>
              <w:rPr>
                <w:rFonts w:asciiTheme="minorHAnsi" w:hAnsiTheme="minorHAnsi" w:cstheme="minorHAnsi"/>
              </w:rPr>
            </w:pPr>
            <w:r>
              <w:rPr>
                <w:rFonts w:asciiTheme="minorHAnsi" w:hAnsiTheme="minorHAnsi" w:cstheme="minorHAnsi"/>
                <w:b/>
                <w:bCs/>
              </w:rPr>
              <w:t>Learning Objectives</w:t>
            </w:r>
          </w:p>
        </w:tc>
        <w:tc>
          <w:tcPr>
            <w:tcW w:w="3634" w:type="dxa"/>
            <w:tcBorders>
              <w:top w:val="single" w:color="auto" w:sz="12" w:space="0"/>
              <w:bottom w:val="single" w:color="auto" w:sz="12" w:space="0"/>
            </w:tcBorders>
            <w:tcMar>
              <w:top w:w="15" w:type="dxa"/>
              <w:left w:w="15" w:type="dxa"/>
              <w:bottom w:w="15" w:type="dxa"/>
              <w:right w:w="15" w:type="dxa"/>
            </w:tcMar>
            <w:vAlign w:val="center"/>
          </w:tcPr>
          <w:p w:rsidRPr="00F73695" w:rsidR="00F73695" w:rsidP="00161CB1" w:rsidRDefault="00F73695" w14:paraId="75A392EF" w14:textId="77777777">
            <w:pPr>
              <w:rPr>
                <w:rFonts w:asciiTheme="minorHAnsi" w:hAnsiTheme="minorHAnsi" w:cstheme="minorHAnsi"/>
              </w:rPr>
            </w:pPr>
            <w:r>
              <w:rPr>
                <w:rFonts w:asciiTheme="minorHAnsi" w:hAnsiTheme="minorHAnsi" w:cstheme="minorHAnsi"/>
                <w:b/>
                <w:bCs/>
              </w:rPr>
              <w:t>Outcomes Measurement</w:t>
            </w:r>
          </w:p>
        </w:tc>
      </w:tr>
      <w:tr w:rsidRPr="00F73695" w:rsidR="00F73695" w:rsidTr="3F0DCF76" w14:paraId="1B97325B" w14:textId="77777777">
        <w:trPr>
          <w:trHeight w:val="63"/>
          <w:tblCellSpacing w:w="15" w:type="dxa"/>
        </w:trPr>
        <w:tc>
          <w:tcPr>
            <w:tcW w:w="3180" w:type="dxa"/>
            <w:tcBorders>
              <w:top w:val="single" w:color="auto" w:sz="12" w:space="0"/>
            </w:tcBorders>
            <w:tcMar>
              <w:top w:w="25" w:type="dxa"/>
              <w:left w:w="25" w:type="dxa"/>
              <w:bottom w:w="25" w:type="dxa"/>
              <w:right w:w="25" w:type="dxa"/>
            </w:tcMar>
          </w:tcPr>
          <w:p w:rsidR="00F73695" w:rsidP="00161CB1" w:rsidRDefault="00274B49" w14:paraId="3A2514FB" w14:textId="77777777">
            <w:pPr>
              <w:rPr>
                <w:rFonts w:asciiTheme="minorHAnsi" w:hAnsiTheme="minorHAnsi" w:cstheme="minorHAnsi"/>
              </w:rPr>
            </w:pPr>
            <w:r>
              <w:rPr>
                <w:rFonts w:asciiTheme="minorHAnsi" w:hAnsiTheme="minorHAnsi" w:cstheme="minorHAnsi"/>
              </w:rPr>
              <w:t>Radiologists require hands-on training in ultrasound-guided core biopsy, vacuum-assisted biopsy, and localization techniques (hook wire and wire-free) to improve technical proficiency, sample adequacy, and diagnostic accuracy.</w:t>
            </w:r>
          </w:p>
          <w:p w:rsidRPr="00F73695" w:rsidR="00274B49" w:rsidP="00161CB1" w:rsidRDefault="00274B49" w14:paraId="45CB9289" w14:textId="121946C1">
            <w:pPr>
              <w:rPr>
                <w:rFonts w:asciiTheme="minorHAnsi" w:hAnsiTheme="minorHAnsi" w:cstheme="minorHAnsi"/>
              </w:rPr>
            </w:pPr>
          </w:p>
        </w:tc>
        <w:tc>
          <w:tcPr>
            <w:tcW w:w="3016" w:type="dxa"/>
            <w:tcBorders>
              <w:top w:val="single" w:color="auto" w:sz="12" w:space="0"/>
            </w:tcBorders>
            <w:tcMar>
              <w:top w:w="15" w:type="dxa"/>
              <w:left w:w="15" w:type="dxa"/>
              <w:bottom w:w="15" w:type="dxa"/>
              <w:right w:w="15" w:type="dxa"/>
            </w:tcMar>
          </w:tcPr>
          <w:p w:rsidR="00274B49" w:rsidP="00161CB1" w:rsidRDefault="00274B49" w14:paraId="53E73A13" w14:textId="77777777">
            <w:pPr>
              <w:rPr>
                <w:rFonts w:asciiTheme="minorHAnsi" w:hAnsiTheme="minorHAnsi" w:cstheme="minorHAnsi"/>
                <w:szCs w:val="22"/>
              </w:rPr>
            </w:pPr>
            <w:r>
              <w:rPr>
                <w:rFonts w:asciiTheme="minorHAnsi" w:hAnsiTheme="minorHAnsi" w:cstheme="minorHAnsi"/>
                <w:szCs w:val="22"/>
              </w:rPr>
              <w:t xml:space="preserve">- Demonstrate proper technique for ultrasound-guided core biopsy and vacuum-assisted biopsy. </w:t>
            </w:r>
          </w:p>
          <w:p w:rsidRPr="00F73695" w:rsidR="00F73695" w:rsidP="00161CB1" w:rsidRDefault="00274B49" w14:paraId="70E82A3A" w14:textId="46CD7AA7">
            <w:pPr>
              <w:rPr>
                <w:rFonts w:asciiTheme="minorHAnsi" w:hAnsiTheme="minorHAnsi" w:cstheme="minorHAnsi"/>
              </w:rPr>
            </w:pPr>
            <w:r>
              <w:rPr>
                <w:rFonts w:asciiTheme="minorHAnsi" w:hAnsiTheme="minorHAnsi" w:cstheme="minorHAnsi"/>
                <w:szCs w:val="22"/>
              </w:rPr>
              <w:br/>
            </w:r>
            <w:r>
              <w:rPr>
                <w:rFonts w:asciiTheme="minorHAnsi" w:hAnsiTheme="minorHAnsi" w:cstheme="minorHAnsi"/>
                <w:szCs w:val="22"/>
              </w:rPr>
              <w:t>- Compare and contrast hook wire localization with wire-free localization, including indications, advantages, and limitations.</w:t>
            </w:r>
          </w:p>
        </w:tc>
        <w:tc>
          <w:tcPr>
            <w:tcW w:w="3634" w:type="dxa"/>
            <w:tcBorders>
              <w:top w:val="single" w:color="auto" w:sz="12" w:space="0"/>
            </w:tcBorders>
            <w:tcMar>
              <w:top w:w="15" w:type="dxa"/>
              <w:left w:w="15" w:type="dxa"/>
              <w:bottom w:w="15" w:type="dxa"/>
              <w:right w:w="15" w:type="dxa"/>
            </w:tcMar>
          </w:tcPr>
          <w:p w:rsidRPr="00F73695" w:rsidR="00F73695" w:rsidP="00161CB1" w:rsidRDefault="00274B49" w14:paraId="0DFF70CD" w14:textId="583275D0">
            <w:pPr>
              <w:rPr>
                <w:rFonts w:asciiTheme="minorHAnsi" w:hAnsiTheme="minorHAnsi" w:cstheme="minorHAnsi"/>
              </w:rPr>
            </w:pPr>
            <w:r>
              <w:rPr>
                <w:rFonts w:asciiTheme="minorHAnsi" w:hAnsiTheme="minorHAnsi" w:cstheme="minorHAnsi"/>
              </w:rPr>
              <w:t xml:space="preserve">Level 4 (competency) / Level 5 (performance): </w:t>
            </w:r>
            <w:r>
              <w:rPr>
                <w:rFonts w:asciiTheme="minorHAnsi" w:hAnsiTheme="minorHAnsi" w:cstheme="minorHAnsi"/>
              </w:rPr>
              <w:br/>
            </w:r>
            <w:r>
              <w:rPr>
                <w:rFonts w:asciiTheme="minorHAnsi" w:hAnsiTheme="minorHAnsi" w:cstheme="minorHAnsi"/>
              </w:rPr>
              <w:t>Hands-on skill assessments and post-workshop evaluations to measure improvements in biopsy and localization technique execution.</w:t>
            </w:r>
          </w:p>
        </w:tc>
      </w:tr>
      <w:tr w:rsidRPr="00F73695" w:rsidR="00F73695" w:rsidTr="3F0DCF76" w14:paraId="74A692F9" w14:textId="77777777">
        <w:trPr>
          <w:trHeight w:val="63"/>
          <w:tblCellSpacing w:w="15" w:type="dxa"/>
        </w:trPr>
        <w:tc>
          <w:tcPr>
            <w:tcW w:w="9890" w:type="dxa"/>
            <w:gridSpan w:val="3"/>
            <w:tcBorders>
              <w:bottom w:val="single" w:color="auto" w:sz="12" w:space="0"/>
            </w:tcBorders>
            <w:tcMar>
              <w:top w:w="25" w:type="dxa"/>
              <w:left w:w="25" w:type="dxa"/>
              <w:bottom w:w="25" w:type="dxa"/>
              <w:right w:w="25" w:type="dxa"/>
            </w:tcMar>
          </w:tcPr>
          <w:p w:rsidRPr="00F73695" w:rsidR="00F73695" w:rsidP="00161CB1" w:rsidRDefault="00F73695" w14:paraId="12738449" w14:textId="35D19A74">
            <w:pPr>
              <w:rPr>
                <w:rFonts w:asciiTheme="minorHAnsi" w:hAnsiTheme="minorHAnsi" w:cstheme="minorHAnsi"/>
              </w:rPr>
            </w:pPr>
            <w:r>
              <w:rPr>
                <w:rFonts w:asciiTheme="minorHAnsi" w:hAnsiTheme="minorHAnsi" w:cstheme="minorHAnsi"/>
                <w:b/>
                <w:bCs/>
              </w:rPr>
              <w:t xml:space="preserve">Clinical Practice Gap 3: </w:t>
            </w:r>
            <w:r>
              <w:rPr>
                <w:rFonts w:asciiTheme="minorHAnsi" w:hAnsiTheme="minorHAnsi" w:cstheme="minorHAnsi"/>
              </w:rPr>
              <w:t>Breast tissue markers are often underutilized or improperly applied in clinical practice, with radiologists and surgeons lacking consistent education on their role in biopsy planning, lesion localization, and surgical excision. This results in missed opportunities for improving preoperative planning, reducing unnecessary surgery, and enhancing patient outcomes</w:t>
            </w:r>
            <w:r>
              <w:rPr>
                <w:rFonts w:asciiTheme="minorHAnsi" w:hAnsiTheme="minorHAnsi" w:cstheme="minorHAnsi"/>
                <w:b/>
                <w:bCs/>
              </w:rPr>
              <w:t>.</w:t>
            </w:r>
          </w:p>
        </w:tc>
      </w:tr>
      <w:tr w:rsidRPr="00F73695" w:rsidR="00F73695" w:rsidTr="3F0DCF76" w14:paraId="7D0C0B32" w14:textId="77777777">
        <w:trPr>
          <w:trHeight w:val="63"/>
          <w:tblCellSpacing w:w="15" w:type="dxa"/>
        </w:trPr>
        <w:tc>
          <w:tcPr>
            <w:tcW w:w="3180" w:type="dxa"/>
            <w:tcBorders>
              <w:top w:val="single" w:color="auto" w:sz="12" w:space="0"/>
              <w:bottom w:val="single" w:color="auto" w:sz="12" w:space="0"/>
            </w:tcBorders>
            <w:tcMar>
              <w:top w:w="25" w:type="dxa"/>
              <w:left w:w="25" w:type="dxa"/>
              <w:bottom w:w="25" w:type="dxa"/>
              <w:right w:w="25" w:type="dxa"/>
            </w:tcMar>
            <w:vAlign w:val="center"/>
          </w:tcPr>
          <w:p w:rsidRPr="00F73695" w:rsidR="00F73695" w:rsidP="00161CB1" w:rsidRDefault="00F73695" w14:paraId="35614BF9" w14:textId="77777777">
            <w:pPr>
              <w:rPr>
                <w:rFonts w:asciiTheme="minorHAnsi" w:hAnsiTheme="minorHAnsi" w:cstheme="minorHAnsi"/>
              </w:rPr>
            </w:pPr>
            <w:r>
              <w:rPr>
                <w:rFonts w:asciiTheme="minorHAnsi" w:hAnsiTheme="minorHAnsi" w:cstheme="minorHAnsi"/>
                <w:b/>
                <w:bCs/>
              </w:rPr>
              <w:t> Educational Need</w:t>
            </w:r>
          </w:p>
        </w:tc>
        <w:tc>
          <w:tcPr>
            <w:tcW w:w="3016" w:type="dxa"/>
            <w:tcBorders>
              <w:top w:val="single" w:color="auto" w:sz="12" w:space="0"/>
              <w:bottom w:val="single" w:color="auto" w:sz="12" w:space="0"/>
            </w:tcBorders>
            <w:tcMar>
              <w:top w:w="15" w:type="dxa"/>
              <w:left w:w="15" w:type="dxa"/>
              <w:bottom w:w="15" w:type="dxa"/>
              <w:right w:w="15" w:type="dxa"/>
            </w:tcMar>
            <w:vAlign w:val="center"/>
          </w:tcPr>
          <w:p w:rsidRPr="00F73695" w:rsidR="00F73695" w:rsidP="00161CB1" w:rsidRDefault="00F73695" w14:paraId="70AC707D" w14:textId="77777777">
            <w:pPr>
              <w:rPr>
                <w:rFonts w:asciiTheme="minorHAnsi" w:hAnsiTheme="minorHAnsi" w:cstheme="minorHAnsi"/>
              </w:rPr>
            </w:pPr>
            <w:r>
              <w:rPr>
                <w:rFonts w:asciiTheme="minorHAnsi" w:hAnsiTheme="minorHAnsi" w:cstheme="minorHAnsi"/>
                <w:b/>
                <w:bCs/>
              </w:rPr>
              <w:t>Learning Objectives</w:t>
            </w:r>
          </w:p>
        </w:tc>
        <w:tc>
          <w:tcPr>
            <w:tcW w:w="3634" w:type="dxa"/>
            <w:tcBorders>
              <w:top w:val="single" w:color="auto" w:sz="12" w:space="0"/>
              <w:bottom w:val="single" w:color="auto" w:sz="12" w:space="0"/>
            </w:tcBorders>
            <w:tcMar>
              <w:top w:w="15" w:type="dxa"/>
              <w:left w:w="15" w:type="dxa"/>
              <w:bottom w:w="15" w:type="dxa"/>
              <w:right w:w="15" w:type="dxa"/>
            </w:tcMar>
            <w:vAlign w:val="center"/>
          </w:tcPr>
          <w:p w:rsidRPr="00F73695" w:rsidR="00F73695" w:rsidP="00161CB1" w:rsidRDefault="00F73695" w14:paraId="22644DDE" w14:textId="77777777">
            <w:pPr>
              <w:rPr>
                <w:rFonts w:asciiTheme="minorHAnsi" w:hAnsiTheme="minorHAnsi" w:cstheme="minorHAnsi"/>
              </w:rPr>
            </w:pPr>
            <w:r>
              <w:rPr>
                <w:rFonts w:asciiTheme="minorHAnsi" w:hAnsiTheme="minorHAnsi" w:cstheme="minorHAnsi"/>
                <w:b/>
                <w:bCs/>
              </w:rPr>
              <w:t>Outcomes Measurement</w:t>
            </w:r>
          </w:p>
        </w:tc>
      </w:tr>
      <w:tr w:rsidRPr="00F73695" w:rsidR="00F73695" w:rsidTr="3F0DCF76" w14:paraId="38FE78DC" w14:textId="77777777">
        <w:trPr>
          <w:trHeight w:val="63"/>
          <w:tblCellSpacing w:w="15" w:type="dxa"/>
        </w:trPr>
        <w:tc>
          <w:tcPr>
            <w:tcW w:w="3180" w:type="dxa"/>
            <w:tcBorders>
              <w:top w:val="single" w:color="auto" w:sz="12" w:space="0"/>
              <w:bottom w:val="single" w:color="auto" w:sz="12" w:space="0"/>
            </w:tcBorders>
            <w:tcMar>
              <w:top w:w="25" w:type="dxa"/>
              <w:left w:w="25" w:type="dxa"/>
              <w:bottom w:w="25" w:type="dxa"/>
              <w:right w:w="25" w:type="dxa"/>
            </w:tcMar>
          </w:tcPr>
          <w:p w:rsidRPr="00F73695" w:rsidR="00F73695" w:rsidP="00161CB1" w:rsidRDefault="00C756D8" w14:paraId="52167D4A" w14:textId="6C1758F6">
            <w:pPr>
              <w:rPr>
                <w:rFonts w:asciiTheme="minorHAnsi" w:hAnsiTheme="minorHAnsi" w:cstheme="minorHAnsi"/>
              </w:rPr>
            </w:pPr>
            <w:r>
              <w:rPr>
                <w:rFonts w:asciiTheme="minorHAnsi" w:hAnsiTheme="minorHAnsi" w:cstheme="minorHAnsi"/>
              </w:rPr>
              <w:t>Radiologists and surgeons need interdisciplinary education on the selection, placement, and interpretation of breast tissue markers to optimize biopsy planning, lesion localization, and surgical excision.</w:t>
            </w:r>
          </w:p>
        </w:tc>
        <w:tc>
          <w:tcPr>
            <w:tcW w:w="3016" w:type="dxa"/>
            <w:tcBorders>
              <w:top w:val="single" w:color="auto" w:sz="12" w:space="0"/>
              <w:bottom w:val="single" w:color="auto" w:sz="12" w:space="0"/>
            </w:tcBorders>
            <w:tcMar>
              <w:top w:w="15" w:type="dxa"/>
              <w:left w:w="15" w:type="dxa"/>
              <w:bottom w:w="15" w:type="dxa"/>
              <w:right w:w="15" w:type="dxa"/>
            </w:tcMar>
          </w:tcPr>
          <w:p w:rsidR="00C756D8" w:rsidP="00161CB1" w:rsidRDefault="00C756D8" w14:paraId="6925603E" w14:textId="77777777">
            <w:pPr>
              <w:rPr>
                <w:rFonts w:asciiTheme="minorHAnsi" w:hAnsiTheme="minorHAnsi" w:cstheme="minorHAnsi"/>
                <w:szCs w:val="22"/>
              </w:rPr>
            </w:pPr>
            <w:r>
              <w:rPr>
                <w:rFonts w:asciiTheme="minorHAnsi" w:hAnsiTheme="minorHAnsi" w:cstheme="minorHAnsi"/>
                <w:szCs w:val="22"/>
              </w:rPr>
              <w:t xml:space="preserve">- Explain the role of breast tissue markers in biopsy planning and surgical localization. </w:t>
            </w:r>
          </w:p>
          <w:p w:rsidRPr="00F73695" w:rsidR="00F73695" w:rsidP="00161CB1" w:rsidRDefault="00C756D8" w14:paraId="54ECB787" w14:textId="783D77AF">
            <w:pPr>
              <w:rPr>
                <w:rFonts w:asciiTheme="minorHAnsi" w:hAnsiTheme="minorHAnsi" w:cstheme="minorHAnsi"/>
              </w:rPr>
            </w:pPr>
            <w:r>
              <w:rPr>
                <w:rFonts w:asciiTheme="minorHAnsi" w:hAnsiTheme="minorHAnsi" w:cstheme="minorHAnsi"/>
                <w:szCs w:val="22"/>
              </w:rPr>
              <w:br/>
            </w:r>
            <w:r>
              <w:rPr>
                <w:rFonts w:asciiTheme="minorHAnsi" w:hAnsiTheme="minorHAnsi" w:cstheme="minorHAnsi"/>
                <w:szCs w:val="22"/>
              </w:rPr>
              <w:t>- Discuss best practices for communication between radiologists and surgeons to enhance preoperative planning and reduce unnecessary procedures.</w:t>
            </w:r>
          </w:p>
        </w:tc>
        <w:tc>
          <w:tcPr>
            <w:tcW w:w="3634" w:type="dxa"/>
            <w:tcBorders>
              <w:top w:val="single" w:color="auto" w:sz="12" w:space="0"/>
              <w:bottom w:val="single" w:color="auto" w:sz="12" w:space="0"/>
            </w:tcBorders>
            <w:tcMar>
              <w:top w:w="15" w:type="dxa"/>
              <w:left w:w="15" w:type="dxa"/>
              <w:bottom w:w="15" w:type="dxa"/>
              <w:right w:w="15" w:type="dxa"/>
            </w:tcMar>
          </w:tcPr>
          <w:p w:rsidRPr="00F73695" w:rsidR="00F73695" w:rsidP="00161CB1" w:rsidRDefault="00C756D8" w14:paraId="5BD9437A" w14:textId="7C3090B2">
            <w:pPr>
              <w:rPr>
                <w:rFonts w:asciiTheme="minorHAnsi" w:hAnsiTheme="minorHAnsi" w:cstheme="minorHAnsi"/>
              </w:rPr>
            </w:pPr>
            <w:r>
              <w:rPr>
                <w:rFonts w:asciiTheme="minorHAnsi" w:hAnsiTheme="minorHAnsi" w:cstheme="minorHAnsi"/>
              </w:rPr>
              <w:t xml:space="preserve">Level 4 (competency) / Level 5 (performance): </w:t>
            </w:r>
            <w:r>
              <w:rPr>
                <w:rFonts w:asciiTheme="minorHAnsi" w:hAnsiTheme="minorHAnsi" w:cstheme="minorHAnsi"/>
              </w:rPr>
              <w:br/>
            </w:r>
            <w:r>
              <w:rPr>
                <w:rFonts w:asciiTheme="minorHAnsi" w:hAnsiTheme="minorHAnsi" w:cstheme="minorHAnsi"/>
              </w:rPr>
              <w:t>Case-based multiple-choice questions and post-course surveys assessing improvements in the use of tissue markers for biopsy and surgery coordination.</w:t>
            </w:r>
          </w:p>
        </w:tc>
      </w:tr>
    </w:tbl>
    <w:p w:rsidR="00D029C7" w:rsidRDefault="00D029C7" w14:paraId="7F712344" w14:textId="3262E343"/>
    <w:p w:rsidR="00F73695" w:rsidP="00F73695" w:rsidRDefault="00F73695" w14:paraId="34D77A2D" w14:textId="36702200">
      <w:pPr>
        <w:rPr>
          <w:rFonts w:asciiTheme="minorHAnsi" w:hAnsiTheme="minorHAnsi" w:cstheme="minorHAnsi"/>
          <w:b/>
          <w:bCs/>
          <w:sz w:val="28"/>
          <w:szCs w:val="28"/>
        </w:rPr>
      </w:pPr>
      <w:r>
        <w:rPr>
          <w:rFonts w:asciiTheme="minorHAnsi" w:hAnsiTheme="minorHAnsi" w:cstheme="minorHAnsi"/>
          <w:b/>
          <w:bCs/>
          <w:sz w:val="28"/>
          <w:szCs w:val="28"/>
        </w:rPr>
        <w:t>Summary Statement of Need</w:t>
      </w:r>
    </w:p>
    <w:p w:rsidR="009043EB" w:rsidP="00EA0F64" w:rsidRDefault="009043EB" w14:paraId="34EC2D09" w14:textId="77777777">
      <w:pPr>
        <w:rPr>
          <w:rFonts w:asciiTheme="minorHAnsi" w:hAnsiTheme="minorHAnsi" w:cstheme="minorHAnsi"/>
        </w:rPr>
      </w:pPr>
    </w:p>
    <w:p w:rsidR="00EA0F64" w:rsidP="00EA0F64" w:rsidRDefault="00EA0F64" w14:paraId="14F15855" w14:textId="64087E8F">
      <w:pPr>
        <w:rPr>
          <w:rFonts w:asciiTheme="minorHAnsi" w:hAnsiTheme="minorHAnsi" w:cstheme="minorHAnsi"/>
        </w:rPr>
      </w:pPr>
      <w:r>
        <w:rPr>
          <w:rFonts w:asciiTheme="minorHAnsi" w:hAnsiTheme="minorHAnsi" w:cstheme="minorHAnsi"/>
        </w:rPr>
        <w:t>There is a significant gap in proficiency among radiologists regarding key biopsy and localization techniques, such as ultrasound-guided core biopsies, vacuum-assisted biopsies, and localization methods (hook wire and wire-free). Many radiologists lack sufficient hands-on experience with these techniques, which can lead to suboptimal lesion targeting, insufficient biopsy samples, and inaccurate diagnoses. These challenges ultimately result in delayed or missed diagnoses, unnecessary procedures, and suboptimal patient outcomes. Addressing this gap with targeted education is crucial to improving technical proficiency and ensuring more accurate breast cancer diagnosis and treatment.</w:t>
      </w:r>
    </w:p>
    <w:p w:rsidRPr="00EA0F64" w:rsidR="00EA0F64" w:rsidP="00EA0F64" w:rsidRDefault="00EA0F64" w14:paraId="6B2416BA" w14:textId="77777777">
      <w:pPr>
        <w:rPr>
          <w:rFonts w:asciiTheme="minorHAnsi" w:hAnsiTheme="minorHAnsi" w:cstheme="minorHAnsi"/>
        </w:rPr>
      </w:pPr>
    </w:p>
    <w:p w:rsidR="00EA0F64" w:rsidP="00EA0F64" w:rsidRDefault="00EA0F64" w14:paraId="09D67DCA" w14:textId="50A39A0F">
      <w:pPr>
        <w:rPr>
          <w:rFonts w:asciiTheme="minorHAnsi" w:hAnsiTheme="minorHAnsi" w:cstheme="minorHAnsi"/>
        </w:rPr>
      </w:pPr>
      <w:r>
        <w:rPr>
          <w:rFonts w:asciiTheme="minorHAnsi" w:hAnsiTheme="minorHAnsi" w:cstheme="minorHAnsi"/>
        </w:rPr>
        <w:t xml:space="preserve">In addition to improving biopsy techniques, there is considerable variability in the diagnosis and management of indeterminate (B3) breast lesions. The inconsistent application of evolving </w:t>
        <w:lastRenderedPageBreak/>
      </w:r>
      <w:r>
        <w:rPr>
          <w:rFonts w:asciiTheme="minorHAnsi" w:hAnsiTheme="minorHAnsi" w:cstheme="minorHAnsi"/>
        </w:rPr>
        <w:t xml:space="preserve">international guidelines for B3 lesions contributes to challenges in risk stratification, biopsy decision-making, and overall patient care. Radiologists and surgeons often lack a unified approach, which can lead to unnecessary biopsies, over-treatment, or missed opportunities for early detection. Standardizing and enhancing education on B3 lesion management is essential to improve clinical decision-making and patient outcomes.</w:t>
      </w:r>
    </w:p>
    <w:p w:rsidRPr="00EA0F64" w:rsidR="00EA0F64" w:rsidP="00EA0F64" w:rsidRDefault="00EA0F64" w14:paraId="37F2E3C7" w14:textId="77777777">
      <w:pPr>
        <w:rPr>
          <w:rFonts w:asciiTheme="minorHAnsi" w:hAnsiTheme="minorHAnsi" w:cstheme="minorHAnsi"/>
        </w:rPr>
      </w:pPr>
    </w:p>
    <w:p w:rsidR="002C16BB" w:rsidP="00F73695" w:rsidRDefault="00EA0F64" w14:paraId="68FF4CD6" w14:textId="7C191E8F">
      <w:pPr>
        <w:rPr>
          <w:rFonts w:asciiTheme="minorHAnsi" w:hAnsiTheme="minorHAnsi" w:cstheme="minorHAnsi"/>
        </w:rPr>
      </w:pPr>
      <w:r>
        <w:rPr>
          <w:rFonts w:asciiTheme="minorHAnsi" w:hAnsiTheme="minorHAnsi" w:cstheme="minorHAnsi"/>
        </w:rPr>
        <w:t>Furthermore, breast tissue markers are often underutilized or improperly applied in clinical practice, leading to missed opportunities for optimizing surgical planning and reducing unnecessary procedures. Inconsistent education on the role of tissue markers in biopsy planning, lesion localization, and surgical excision hinders effective preoperative planning. Interdisciplinary training that improves collaboration between radiologists and surgeons is necessary to ensure optimal use of tissue markers, which will improve diagnostic accuracy, reduce the risk of unnecessary surgeries, and ultimately enhance patient care.</w:t>
      </w:r>
    </w:p>
    <w:p w:rsidR="00D86345" w:rsidP="00F73695" w:rsidRDefault="00D86345" w14:paraId="64B802CA" w14:textId="77777777">
      <w:pPr>
        <w:rPr>
          <w:rFonts w:asciiTheme="minorHAnsi" w:hAnsiTheme="minorHAnsi" w:cstheme="minorHAnsi"/>
        </w:rPr>
      </w:pPr>
    </w:p>
    <w:p w:rsidRPr="00DC217B" w:rsidR="00D029C7" w:rsidP="00D029C7" w:rsidRDefault="00D029C7" w14:paraId="43C024AE" w14:textId="77777777">
      <w:pPr>
        <w:rPr>
          <w:rFonts w:asciiTheme="minorHAnsi" w:hAnsiTheme="minorHAnsi" w:cstheme="minorHAnsi"/>
          <w:sz w:val="28"/>
          <w:szCs w:val="28"/>
        </w:rPr>
      </w:pPr>
    </w:p>
    <w:p w:rsidRPr="00DC217B" w:rsidR="00F73695" w:rsidP="00F73695" w:rsidRDefault="00D029C7" w14:paraId="080FEA9A" w14:textId="77777777">
      <w:pPr>
        <w:rPr>
          <w:rFonts w:asciiTheme="minorHAnsi" w:hAnsiTheme="minorHAnsi" w:cstheme="minorHAnsi"/>
          <w:b/>
          <w:bCs/>
          <w:sz w:val="28"/>
          <w:szCs w:val="28"/>
        </w:rPr>
      </w:pPr>
      <w:r>
        <w:rPr>
          <w:rFonts w:asciiTheme="minorHAnsi" w:hAnsiTheme="minorHAnsi" w:cstheme="minorHAnsi"/>
          <w:b/>
          <w:bCs/>
          <w:sz w:val="28"/>
          <w:szCs w:val="28"/>
        </w:rPr>
        <w:t xml:space="preserve">Introduction  </w:t>
      </w:r>
    </w:p>
    <w:p w:rsidR="00EA0F64" w:rsidP="00EA0F64" w:rsidRDefault="00EA0F64" w14:paraId="221D1B6D" w14:textId="77777777">
      <w:pPr>
        <w:rPr>
          <w:b/>
          <w:bCs/>
        </w:rPr>
      </w:pPr>
    </w:p>
    <w:p w:rsidRPr="008549F8" w:rsidR="00EA0F64" w:rsidP="00EA0F64" w:rsidRDefault="00EA0F64" w14:paraId="458B1FEB" w14:textId="44808603">
      <w:pPr>
        <w:rPr>
          <w:rFonts w:asciiTheme="minorHAnsi" w:hAnsiTheme="minorHAnsi" w:cstheme="minorHAnsi"/>
        </w:rPr>
      </w:pPr>
      <w:r>
        <w:rPr>
          <w:rFonts w:asciiTheme="minorHAnsi" w:hAnsiTheme="minorHAnsi" w:cstheme="minorHAnsi"/>
        </w:rPr>
        <w:t xml:space="preserve">Breast cancer is one of the most prevalent cancers globally and remains the leading cause of death among women. Traditionally, breast cancer rates in Southeast Asia have been lower compared to Western countries. However, recent research indicates a rising incidence of the disease in this region. According to a comparative analysis by the International Agency for Research on Cancer (IARC), breast cancer is now the most common cancer among women across 11 Southeast Asian countries.</w:t>
      </w:r>
      <w:r>
        <w:rPr>
          <w:rFonts w:asciiTheme="minorHAnsi" w:hAnsiTheme="minorHAnsi" w:cstheme="minorHAnsi"/>
          <w:vertAlign w:val="superscript"/>
        </w:rPr>
        <w:t xml:space="preserve">1 </w:t>
      </w:r>
    </w:p>
    <w:p w:rsidRPr="00D86345" w:rsidR="00EA0F64" w:rsidP="00EA0F64" w:rsidRDefault="00EA0F64" w14:paraId="05545CAE" w14:textId="77777777">
      <w:pPr>
        <w:rPr>
          <w:rFonts w:asciiTheme="minorHAnsi" w:hAnsiTheme="minorHAnsi" w:cstheme="minorHAnsi"/>
        </w:rPr>
      </w:pPr>
    </w:p>
    <w:p w:rsidR="00EA0F64" w:rsidP="00EA0F64" w:rsidRDefault="00EA0F64" w14:paraId="10743EAE" w14:textId="0689E814">
      <w:pPr>
        <w:rPr>
          <w:rFonts w:asciiTheme="minorHAnsi" w:hAnsiTheme="minorHAnsi" w:cstheme="minorHAnsi"/>
        </w:rPr>
      </w:pPr>
      <w:r>
        <w:rPr>
          <w:rFonts w:asciiTheme="minorHAnsi" w:hAnsiTheme="minorHAnsi" w:cstheme="minorHAnsi"/>
        </w:rPr>
        <w:t>As survival rates are heavily dependent on the early detection of small tumors, research aimed at enhancing diagnostic accuracy is critical. The accuracy of cancer detection often relies on the interpretation skills of individual radiologists, with perceptual errors being responsible for up to 60% of all diagnostic mistakes in radiology.</w:t>
      </w:r>
      <w:r>
        <w:rPr>
          <w:rFonts w:asciiTheme="minorHAnsi" w:hAnsiTheme="minorHAnsi" w:cstheme="minorHAnsi"/>
          <w:vertAlign w:val="superscript"/>
        </w:rPr>
        <w:t xml:space="preserve">2 </w:t>
      </w:r>
    </w:p>
    <w:p w:rsidRPr="00D86345" w:rsidR="00EA0F64" w:rsidP="00EA0F64" w:rsidRDefault="00EA0F64" w14:paraId="569546EB" w14:textId="77777777">
      <w:pPr>
        <w:rPr>
          <w:rFonts w:asciiTheme="minorHAnsi" w:hAnsiTheme="minorHAnsi" w:cstheme="minorHAnsi"/>
        </w:rPr>
      </w:pPr>
    </w:p>
    <w:p w:rsidR="00551258" w:rsidP="00357E55" w:rsidRDefault="00EA0F64" w14:paraId="43D50DAD" w14:textId="7E083206">
      <w:pPr>
        <w:rPr>
          <w:rFonts w:asciiTheme="minorHAnsi" w:hAnsiTheme="minorHAnsi" w:cstheme="minorHAnsi"/>
        </w:rPr>
      </w:pPr>
      <w:r>
        <w:rPr>
          <w:rFonts w:asciiTheme="minorHAnsi" w:hAnsiTheme="minorHAnsi" w:cstheme="minorHAnsi"/>
        </w:rPr>
        <w:t xml:space="preserve">Reducing perceptual errors is largely influenced by factors such as a radiologist's specialization and level of experience. Furthermore, misdiagnosing normal images (false positives) can lead to significant emotional distress for patients. </w:t>
      </w:r>
    </w:p>
    <w:p w:rsidRPr="00AE7982" w:rsidR="00AE7982" w:rsidP="00AE7982" w:rsidRDefault="00AE7982" w14:paraId="60DEE1E8" w14:textId="4F70B243">
      <w:pPr>
        <w:pStyle w:val="NormalWeb"/>
        <w:rPr>
          <w:rFonts w:asciiTheme="minorHAnsi" w:hAnsiTheme="minorHAnsi" w:cstheme="minorHAnsi"/>
        </w:rPr>
      </w:pPr>
      <w:r>
        <w:rPr>
          <w:rFonts w:asciiTheme="minorHAnsi" w:hAnsiTheme="minorHAnsi" w:cstheme="minorHAnsi"/>
        </w:rPr>
        <w:t>Challenges persist in accurately diagnosing and managing breast lesions, particularly indeterminate (B3) lesions, and in utilizing advanced biopsy and localization techniques. Radiologists and surgeons often face difficulties in ensuring consistent application of updated guidelines, leading to variability in clinical decision-making and patient care.</w:t>
      </w:r>
      <w:r>
        <w:rPr>
          <w:rFonts w:asciiTheme="minorHAnsi" w:hAnsiTheme="minorHAnsi" w:cstheme="minorHAnsi"/>
          <w:vertAlign w:val="superscript"/>
        </w:rPr>
        <w:t xml:space="preserve">3 </w:t>
      </w:r>
      <w:r>
        <w:rPr>
          <w:rFonts w:asciiTheme="minorHAnsi" w:hAnsiTheme="minorHAnsi" w:cstheme="minorHAnsi"/>
        </w:rPr>
        <w:t>Additionally, insufficient technical proficiency in ultrasound-guided core biopsies, vacuum-assisted biopsies, and localization methods can result in inaccurate lesion targeting and suboptimal diagnostic accuracy. The need for advanced education and hands-on training in these techniques is paramount to improving competence and performance in breast cancer diagnosis.</w:t>
      </w:r>
      <w:r>
        <w:rPr>
          <w:rFonts w:asciiTheme="minorHAnsi" w:hAnsiTheme="minorHAnsi" w:cstheme="minorHAnsi"/>
          <w:vertAlign w:val="superscript"/>
        </w:rPr>
        <w:t>4</w:t>
      </w:r>
    </w:p>
    <w:p w:rsidR="001B0FAF" w:rsidP="00D4116D" w:rsidRDefault="00AE7982" w14:paraId="2C010D9A" w14:textId="6F8E0A09">
      <w:pPr>
        <w:pStyle w:val="NormalWeb"/>
        <w:rPr>
          <w:rFonts w:asciiTheme="minorHAnsi" w:hAnsiTheme="minorHAnsi" w:cstheme="minorHAnsi"/>
        </w:rPr>
      </w:pPr>
      <w:r>
        <w:rPr>
          <w:rFonts w:asciiTheme="minorHAnsi" w:hAnsiTheme="minorHAnsi" w:cstheme="minorHAnsi"/>
        </w:rPr>
        <w:t xml:space="preserve">Equally important is the proper use of breast tissue markers, which are essential for guiding biopsies and surgical excisions. Unfortunately, their application is often underutilized or </w:t>
        <w:lastRenderedPageBreak/>
      </w:r>
      <w:r>
        <w:rPr>
          <w:rFonts w:asciiTheme="minorHAnsi" w:hAnsiTheme="minorHAnsi" w:cstheme="minorHAnsi"/>
        </w:rPr>
        <w:t xml:space="preserve">misunderstood, contributing to unnecessary procedures and less effective surgical planning. Effective preoperative planning, supported by the proper use of tissue markers, is crucial for reducing unnecessary surgeries and improving surgical outcomes. Interdisciplinary education is needed to foster greater collaboration between radiologists and surgeons, ensuring that best practices are followed in the management of B3 lesions and the optimal use of biopsy and localization techniques. This educational event aims to address these gaps, providing participants with the tools and knowledge to enhance patient care and improve clinical decision-making. </w:t>
      </w:r>
    </w:p>
    <w:p w:rsidR="00F86457" w:rsidP="00551258" w:rsidRDefault="00D029C7" w14:paraId="2AF198C2" w14:textId="77777777">
      <w:pPr>
        <w:rPr>
          <w:rFonts w:asciiTheme="minorHAnsi" w:hAnsiTheme="minorHAnsi" w:cstheme="minorHAnsi"/>
          <w:b/>
          <w:bCs/>
          <w:sz w:val="28"/>
          <w:szCs w:val="28"/>
        </w:rPr>
      </w:pPr>
      <w:r w:rsidRPr="3F0DCF76" w:rsidR="05BCE788">
        <w:rPr>
          <w:rFonts w:ascii="Calibri" w:hAnsi="Calibri" w:cs="Calibri" w:asciiTheme="minorAscii" w:hAnsiTheme="minorAscii" w:cstheme="minorAscii"/>
          <w:b w:val="1"/>
          <w:bCs w:val="1"/>
          <w:sz w:val="28"/>
          <w:szCs w:val="28"/>
        </w:rPr>
        <w:t xml:space="preserve">Clinical Practice Gap 1: </w:t>
      </w:r>
    </w:p>
    <w:p w:rsidR="3F0DCF76" w:rsidP="3F0DCF76" w:rsidRDefault="3F0DCF76" w14:paraId="160F6FF8" w14:textId="483E4154">
      <w:pPr>
        <w:rPr>
          <w:rFonts w:ascii="Calibri" w:hAnsi="Calibri" w:cs="Calibri" w:asciiTheme="minorAscii" w:hAnsiTheme="minorAscii" w:cstheme="minorAscii"/>
          <w:b w:val="1"/>
          <w:bCs w:val="1"/>
          <w:color w:val="000000" w:themeColor="text1" w:themeTint="FF" w:themeShade="FF"/>
          <w:sz w:val="28"/>
          <w:szCs w:val="28"/>
        </w:rPr>
      </w:pPr>
    </w:p>
    <w:p w:rsidRPr="002320DB" w:rsidR="00551258" w:rsidP="00551258" w:rsidRDefault="00551258" w14:paraId="174A7113" w14:textId="2F5A0153">
      <w:pPr>
        <w:rPr>
          <w:rFonts w:asciiTheme="minorHAnsi" w:hAnsiTheme="minorHAnsi" w:cstheme="minorHAnsi"/>
          <w:b/>
          <w:bCs/>
          <w:sz w:val="28"/>
          <w:szCs w:val="28"/>
        </w:rPr>
      </w:pPr>
      <w:r>
        <w:rPr>
          <w:rFonts w:asciiTheme="minorHAnsi" w:hAnsiTheme="minorHAnsi" w:cstheme="minorHAnsi"/>
          <w:b/>
          <w:bCs/>
          <w:color w:val="000000" w:themeColor="text1"/>
          <w:sz w:val="28"/>
          <w:szCs w:val="28"/>
          <w:shd w:val="clear" w:color="auto" w:fill="FFFFFF"/>
        </w:rPr>
        <w:t>Radiologists and surgeons often face variability in the diagnosis and management of indeterminate (B3) breast lesions, resulting in inconsistent risk stratification, biopsy decision-making, and patient outcomes. This gap in practice is primarily due to a lack of standardized understanding and implementation of evolving international guidelines for B3 lesions.</w:t>
      </w:r>
    </w:p>
    <w:p w:rsidR="00357E55" w:rsidP="00357E55" w:rsidRDefault="00357E55" w14:paraId="7F988ECB" w14:textId="77777777">
      <w:pPr>
        <w:rPr>
          <w:rFonts w:asciiTheme="minorHAnsi" w:hAnsiTheme="minorHAnsi" w:cstheme="minorHAnsi"/>
          <w:b/>
          <w:bCs/>
        </w:rPr>
      </w:pPr>
    </w:p>
    <w:p w:rsidRPr="00205F25" w:rsidR="00357E55" w:rsidP="00357E55" w:rsidRDefault="00357E55" w14:paraId="37788E84" w14:textId="5C458601">
      <w:pPr>
        <w:rPr>
          <w:rFonts w:asciiTheme="minorHAnsi" w:hAnsiTheme="minorHAnsi" w:cstheme="minorHAnsi"/>
          <w:b/>
          <w:bCs/>
          <w:i/>
          <w:iCs/>
        </w:rPr>
      </w:pPr>
      <w:r>
        <w:rPr>
          <w:rFonts w:asciiTheme="minorHAnsi" w:hAnsiTheme="minorHAnsi" w:cstheme="minorHAnsi"/>
          <w:b/>
          <w:bCs/>
          <w:i/>
          <w:iCs/>
        </w:rPr>
        <w:t>Variability in the Diagnosis and Management of Indeterminate (B3) Breast Lesions</w:t>
      </w:r>
    </w:p>
    <w:p w:rsidRPr="00357E55" w:rsidR="00205F25" w:rsidP="00357E55" w:rsidRDefault="00205F25" w14:paraId="199FAD0A" w14:textId="77777777">
      <w:pPr>
        <w:rPr>
          <w:rFonts w:asciiTheme="minorHAnsi" w:hAnsiTheme="minorHAnsi" w:cstheme="minorHAnsi"/>
        </w:rPr>
      </w:pPr>
    </w:p>
    <w:p w:rsidR="00357E55" w:rsidP="00357E55" w:rsidRDefault="00357E55" w14:paraId="270020CA" w14:textId="189EF29F">
      <w:pPr>
        <w:rPr>
          <w:rFonts w:asciiTheme="minorHAnsi" w:hAnsiTheme="minorHAnsi" w:cstheme="minorHAnsi"/>
        </w:rPr>
      </w:pPr>
      <w:r>
        <w:rPr>
          <w:rFonts w:asciiTheme="minorHAnsi" w:hAnsiTheme="minorHAnsi" w:cstheme="minorHAnsi"/>
        </w:rPr>
        <w:t>Indeterminate, or B3, breast lesions present a unique challenge in clinical practice due to their uncertain malignant potential. These lesions encompass a spectrum of histopathological findings, including atypical ductal hyperplasia, lobular neoplasia, and papillary lesions, among others. The primary clinical dilemma lies in accurately stratifying the risk associated with these lesions to guide appropriate management strategies. However, significant variability exists among radiologists and surgeons in diagnosing and managing B3 lesions, leading to inconsistent risk stratification, biopsy decision-making, and patient outcomes. This variability is largely attributed to a lack of standardized understanding and implementation of evolving international guidelines.</w:t>
      </w:r>
      <w:r>
        <w:rPr>
          <w:rFonts w:asciiTheme="minorHAnsi" w:hAnsiTheme="minorHAnsi" w:cstheme="minorHAnsi"/>
          <w:vertAlign w:val="superscript"/>
        </w:rPr>
        <w:t>5</w:t>
      </w:r>
    </w:p>
    <w:p w:rsidRPr="00357E55" w:rsidR="00205F25" w:rsidP="00357E55" w:rsidRDefault="00205F25" w14:paraId="1F731961" w14:textId="77777777">
      <w:pPr>
        <w:rPr>
          <w:rFonts w:asciiTheme="minorHAnsi" w:hAnsiTheme="minorHAnsi" w:cstheme="minorHAnsi"/>
        </w:rPr>
      </w:pPr>
    </w:p>
    <w:p w:rsidRPr="00357E55" w:rsidR="00357E55" w:rsidP="00357E55" w:rsidRDefault="00357E55" w14:paraId="4AF6C01F" w14:textId="77777777">
      <w:pPr>
        <w:rPr>
          <w:rFonts w:asciiTheme="minorHAnsi" w:hAnsiTheme="minorHAnsi" w:cstheme="minorHAnsi"/>
          <w:i/>
          <w:iCs/>
        </w:rPr>
      </w:pPr>
      <w:r>
        <w:rPr>
          <w:rFonts w:asciiTheme="minorHAnsi" w:hAnsiTheme="minorHAnsi" w:cstheme="minorHAnsi"/>
          <w:b/>
          <w:bCs/>
          <w:i/>
          <w:iCs/>
        </w:rPr>
        <w:t>Challenges in Diagnosis and Risk Stratification</w:t>
      </w:r>
    </w:p>
    <w:p w:rsidR="00205F25" w:rsidP="00357E55" w:rsidRDefault="00205F25" w14:paraId="54550249" w14:textId="77777777">
      <w:pPr>
        <w:rPr>
          <w:rFonts w:asciiTheme="minorHAnsi" w:hAnsiTheme="minorHAnsi" w:cstheme="minorHAnsi"/>
        </w:rPr>
      </w:pPr>
    </w:p>
    <w:p w:rsidR="00357E55" w:rsidP="00357E55" w:rsidRDefault="00357E55" w14:paraId="77353DD3" w14:textId="6870BFE5">
      <w:pPr>
        <w:rPr>
          <w:rFonts w:asciiTheme="minorHAnsi" w:hAnsiTheme="minorHAnsi" w:cstheme="minorHAnsi"/>
        </w:rPr>
      </w:pPr>
      <w:r>
        <w:rPr>
          <w:rFonts w:asciiTheme="minorHAnsi" w:hAnsiTheme="minorHAnsi" w:cstheme="minorHAnsi"/>
        </w:rPr>
        <w:t>The initial assessment of B3 lesions often involves a combination of imaging modalities and needle biopsy techniques. The triple test score (TTS), which integrates physical examination, imaging (mammography, ultrasound, or MRI), and needle biopsy (fine-needle aspiration or core needle biopsy), has been utilized to evaluate palpable breast masses. While TTS has demonstrated high diagnostic accuracy, its application to B3 lesions is complex due to the heterogeneous nature of these lesions. For instance, fine-needle aspiration biopsy (FNAB) has shown high sensitivity and specificity in diagnosing breast malignancies; however, its efficacy in distinguishing between benign and atypical proliferative lesions within the B3 category is limited.</w:t>
      </w:r>
      <w:r>
        <w:rPr>
          <w:rFonts w:asciiTheme="minorHAnsi" w:hAnsiTheme="minorHAnsi" w:cstheme="minorHAnsi"/>
          <w:vertAlign w:val="superscript"/>
        </w:rPr>
        <w:t>4</w:t>
      </w:r>
      <w:r>
        <w:rPr>
          <w:rFonts w:asciiTheme="minorHAnsi" w:hAnsiTheme="minorHAnsi" w:cstheme="minorHAnsi"/>
        </w:rPr>
        <w:t xml:space="preserve"> This limitation underscores the need for more definitive diagnostic tools and standardized criteria to accurately stratify the risk associated with B3 lesions.</w:t>
      </w:r>
    </w:p>
    <w:p w:rsidR="00830327" w:rsidP="3F0DCF76" w:rsidRDefault="00830327" w14:paraId="0D22D2B1" w14:textId="0956E2BD">
      <w:pPr>
        <w:pStyle w:val="Normal"/>
        <w:rPr>
          <w:rFonts w:ascii="Calibri" w:hAnsi="Calibri" w:cs="Calibri" w:asciiTheme="minorAscii" w:hAnsiTheme="minorAscii" w:cstheme="minorAscii"/>
        </w:rPr>
      </w:pPr>
    </w:p>
    <w:p w:rsidRPr="00EC738A" w:rsidR="00357E55" w:rsidP="00357E55" w:rsidRDefault="00357E55" w14:paraId="5091BC51" w14:textId="55F402F8">
      <w:pPr>
        <w:rPr>
          <w:rFonts w:asciiTheme="minorHAnsi" w:hAnsiTheme="minorHAnsi" w:cstheme="minorHAnsi"/>
          <w:b/>
          <w:bCs/>
          <w:i/>
          <w:iCs/>
        </w:rPr>
      </w:pPr>
      <w:r>
        <w:rPr>
          <w:rFonts w:asciiTheme="minorHAnsi" w:hAnsiTheme="minorHAnsi" w:cstheme="minorHAnsi"/>
          <w:b/>
          <w:bCs/>
          <w:i/>
          <w:iCs/>
        </w:rPr>
        <w:t>Variability in Management Approaches</w:t>
      </w:r>
    </w:p>
    <w:p w:rsidRPr="00357E55" w:rsidR="00EC738A" w:rsidP="00357E55" w:rsidRDefault="00EC738A" w14:paraId="17BD423A" w14:textId="77777777">
      <w:pPr>
        <w:rPr>
          <w:rFonts w:asciiTheme="minorHAnsi" w:hAnsiTheme="minorHAnsi" w:cstheme="minorHAnsi"/>
        </w:rPr>
      </w:pPr>
    </w:p>
    <w:p w:rsidR="00357E55" w:rsidP="00357E55" w:rsidRDefault="00357E55" w14:paraId="01F2423A" w14:textId="53B4BC35">
      <w:pPr>
        <w:rPr>
          <w:rFonts w:asciiTheme="minorHAnsi" w:hAnsiTheme="minorHAnsi" w:cstheme="minorHAnsi"/>
        </w:rPr>
      </w:pPr>
      <w:r>
        <w:rPr>
          <w:rFonts w:asciiTheme="minorHAnsi" w:hAnsiTheme="minorHAnsi" w:cstheme="minorHAnsi"/>
        </w:rPr>
        <w:t>The management of B3 lesions varies widely, ranging from surgical excision to more conservative approaches such as imaging surveillance. This variability is partly due to differing interpretations of histopathological findings and a lack of consensus on the malignant potential of specific B3 subtypes. For example, lesions such as atypical ductal hyperplasia may warrant surgical excision due to a higher associated risk of malignancy, whereas other lesions might be managed conservatively.</w:t>
      </w:r>
      <w:r>
        <w:rPr>
          <w:rFonts w:asciiTheme="minorHAnsi" w:hAnsiTheme="minorHAnsi" w:cstheme="minorHAnsi"/>
          <w:vertAlign w:val="superscript"/>
        </w:rPr>
        <w:t xml:space="preserve">4 </w:t>
      </w:r>
      <w:r>
        <w:rPr>
          <w:rFonts w:asciiTheme="minorHAnsi" w:hAnsiTheme="minorHAnsi" w:cstheme="minorHAnsi"/>
        </w:rPr>
        <w:t>The absence of standardized guidelines leads to inconsistent practices, which can result in either overtreatment or undertreatment, adversely affecting patient outcomes.</w:t>
      </w:r>
    </w:p>
    <w:p w:rsidRPr="00357E55" w:rsidR="00EC738A" w:rsidP="00357E55" w:rsidRDefault="00EC738A" w14:paraId="3DEBE62C" w14:textId="77777777">
      <w:pPr>
        <w:rPr>
          <w:rFonts w:asciiTheme="minorHAnsi" w:hAnsiTheme="minorHAnsi" w:cstheme="minorHAnsi"/>
        </w:rPr>
      </w:pPr>
    </w:p>
    <w:p w:rsidRPr="00357E55" w:rsidR="00357E55" w:rsidP="00357E55" w:rsidRDefault="00357E55" w14:paraId="45E35388" w14:textId="77777777">
      <w:pPr>
        <w:rPr>
          <w:rFonts w:asciiTheme="minorHAnsi" w:hAnsiTheme="minorHAnsi" w:cstheme="minorHAnsi"/>
          <w:i/>
          <w:iCs/>
        </w:rPr>
      </w:pPr>
      <w:r>
        <w:rPr>
          <w:rFonts w:asciiTheme="minorHAnsi" w:hAnsiTheme="minorHAnsi" w:cstheme="minorHAnsi"/>
          <w:b/>
          <w:bCs/>
          <w:i/>
          <w:iCs/>
        </w:rPr>
        <w:t>Need for Standardized Guidelines and Education</w:t>
      </w:r>
    </w:p>
    <w:p w:rsidR="002408BC" w:rsidP="00D029C7" w:rsidRDefault="00357E55" w14:paraId="5EE29343" w14:textId="75FD6829">
      <w:pPr>
        <w:rPr>
          <w:rFonts w:asciiTheme="minorHAnsi" w:hAnsiTheme="minorHAnsi" w:cstheme="minorHAnsi"/>
        </w:rPr>
      </w:pPr>
      <w:r>
        <w:rPr>
          <w:rFonts w:asciiTheme="minorHAnsi" w:hAnsiTheme="minorHAnsi" w:cstheme="minorHAnsi"/>
        </w:rPr>
        <w:t xml:space="preserve">To address this clinical practice gap, there is a pressing need for the clear understanding of the recommendations for the diagnosis and management of B3 lesions. Educational initiatives targeting both radiologists and surgeons are essential to ensure a unified understanding and implementation of these guidelines. Such initiatives should focus on enhancing proficiency in diagnostic techniques, interpreting histopathological findings accurately, and applying risk-based management strategies. By standardizing practices and improving interdisciplinary collaboration, healthcare professionals can achieve more consistent risk stratification, optimize biopsy decision-making, and ultimately improve patient outcomes in the context of indeterminate breast lesions.</w:t>
      </w:r>
      <w:r>
        <w:rPr>
          <w:rFonts w:asciiTheme="minorHAnsi" w:hAnsiTheme="minorHAnsi" w:cstheme="minorHAnsi"/>
          <w:vertAlign w:val="superscript"/>
        </w:rPr>
        <w:t>5</w:t>
      </w:r>
    </w:p>
    <w:p w:rsidRPr="00B103D2" w:rsidR="00B103D2" w:rsidP="00D029C7" w:rsidRDefault="00B103D2" w14:paraId="1CA394F6" w14:textId="77777777">
      <w:pPr>
        <w:rPr>
          <w:rFonts w:asciiTheme="minorHAnsi" w:hAnsiTheme="minorHAnsi" w:cstheme="minorHAnsi"/>
        </w:rPr>
      </w:pPr>
    </w:p>
    <w:p w:rsidR="00F86457" w:rsidP="00D029C7" w:rsidRDefault="00D029C7" w14:paraId="2B199914" w14:textId="77777777">
      <w:pPr>
        <w:rPr>
          <w:rFonts w:asciiTheme="minorHAnsi" w:hAnsiTheme="minorHAnsi" w:cstheme="minorHAnsi"/>
          <w:b/>
          <w:bCs/>
          <w:sz w:val="28"/>
          <w:szCs w:val="28"/>
        </w:rPr>
      </w:pPr>
      <w:r w:rsidRPr="3F0DCF76" w:rsidR="05BCE788">
        <w:rPr>
          <w:rFonts w:ascii="Calibri" w:hAnsi="Calibri" w:cs="Calibri" w:asciiTheme="minorAscii" w:hAnsiTheme="minorAscii" w:cstheme="minorAscii"/>
          <w:b w:val="1"/>
          <w:bCs w:val="1"/>
          <w:sz w:val="28"/>
          <w:szCs w:val="28"/>
        </w:rPr>
        <w:t xml:space="preserve">Clinical Practice Gap 2: </w:t>
      </w:r>
    </w:p>
    <w:p w:rsidR="3F0DCF76" w:rsidP="3F0DCF76" w:rsidRDefault="3F0DCF76" w14:paraId="32B61642" w14:textId="0F8ACFC4">
      <w:pPr>
        <w:rPr>
          <w:rFonts w:ascii="Calibri" w:hAnsi="Calibri" w:cs="Calibri" w:asciiTheme="minorAscii" w:hAnsiTheme="minorAscii" w:cstheme="minorAscii"/>
          <w:b w:val="1"/>
          <w:bCs w:val="1"/>
          <w:sz w:val="28"/>
          <w:szCs w:val="28"/>
        </w:rPr>
      </w:pPr>
    </w:p>
    <w:p w:rsidRPr="00726C05" w:rsidR="00D029C7" w:rsidP="00D029C7" w:rsidRDefault="00EC738A" w14:paraId="60A86ABD" w14:textId="117E0885">
      <w:pPr>
        <w:rPr>
          <w:rFonts w:asciiTheme="minorHAnsi" w:hAnsiTheme="minorHAnsi" w:cstheme="minorHAnsi"/>
          <w:b/>
          <w:bCs/>
          <w:sz w:val="28"/>
          <w:szCs w:val="28"/>
        </w:rPr>
      </w:pPr>
      <w:r>
        <w:rPr>
          <w:rFonts w:asciiTheme="minorHAnsi" w:hAnsiTheme="minorHAnsi" w:cstheme="minorHAnsi"/>
          <w:b/>
          <w:bCs/>
          <w:sz w:val="28"/>
          <w:szCs w:val="28"/>
        </w:rPr>
        <w:t>There is a significant gap in proficiency among radiologists regarding ultrasound-guided core biopsies, vacuum-assisted biopsies, and localization techniques (hook wire and wire-free), which leads to suboptimal sample retrieval, inaccurate lesion targeting, and potential misdiagnosis or unnecessary procedures.</w:t>
      </w:r>
    </w:p>
    <w:p w:rsidR="002A332E" w:rsidP="002A332E" w:rsidRDefault="002A332E" w14:paraId="3AC58386" w14:textId="77777777">
      <w:pPr>
        <w:rPr>
          <w:rFonts w:asciiTheme="minorHAnsi" w:hAnsiTheme="minorHAnsi" w:cstheme="minorHAnsi"/>
        </w:rPr>
      </w:pPr>
    </w:p>
    <w:p w:rsidR="002A332E" w:rsidP="002A332E" w:rsidRDefault="002A332E" w14:paraId="55F8201D" w14:textId="37044B32">
      <w:pPr>
        <w:rPr>
          <w:rFonts w:asciiTheme="minorHAnsi" w:hAnsiTheme="minorHAnsi" w:cstheme="minorHAnsi"/>
        </w:rPr>
      </w:pPr>
      <w:r>
        <w:rPr>
          <w:rFonts w:asciiTheme="minorHAnsi" w:hAnsiTheme="minorHAnsi" w:cstheme="minorHAnsi"/>
        </w:rPr>
        <w:t>Accurate diagnosis and management of breast lesions heavily rely on the proficiency of radiologists in performing various biopsy and localization techniques. However, a significant gap exists in the consistent application of these procedures, leading to suboptimal sample retrieval, inaccurate lesion targeting, and potential misdiagnosis or unnecessary interventions.</w:t>
      </w:r>
    </w:p>
    <w:p w:rsidRPr="002A332E" w:rsidR="002A332E" w:rsidP="002A332E" w:rsidRDefault="002A332E" w14:paraId="7DE9ECA2" w14:textId="77777777">
      <w:pPr>
        <w:rPr>
          <w:rFonts w:asciiTheme="minorHAnsi" w:hAnsiTheme="minorHAnsi" w:cstheme="minorHAnsi"/>
        </w:rPr>
      </w:pPr>
    </w:p>
    <w:p w:rsidRPr="002A332E" w:rsidR="002A332E" w:rsidP="002A332E" w:rsidRDefault="002A332E" w14:paraId="2AF4D6CC" w14:textId="77777777">
      <w:pPr>
        <w:rPr>
          <w:rFonts w:asciiTheme="minorHAnsi" w:hAnsiTheme="minorHAnsi" w:cstheme="minorHAnsi"/>
          <w:i/>
          <w:iCs/>
        </w:rPr>
      </w:pPr>
      <w:r>
        <w:rPr>
          <w:rFonts w:asciiTheme="minorHAnsi" w:hAnsiTheme="minorHAnsi" w:cstheme="minorHAnsi"/>
          <w:b/>
          <w:bCs/>
          <w:i/>
          <w:iCs/>
        </w:rPr>
        <w:t>Ultrasound-Guided Core Biopsies</w:t>
      </w:r>
    </w:p>
    <w:p w:rsidR="002A332E" w:rsidP="002A332E" w:rsidRDefault="002A332E" w14:paraId="0DE116EC" w14:textId="18983CF9">
      <w:pPr>
        <w:rPr>
          <w:rFonts w:asciiTheme="minorHAnsi" w:hAnsiTheme="minorHAnsi" w:cstheme="minorHAnsi"/>
        </w:rPr>
      </w:pPr>
      <w:r>
        <w:rPr>
          <w:rFonts w:asciiTheme="minorHAnsi" w:hAnsiTheme="minorHAnsi" w:cstheme="minorHAnsi"/>
        </w:rPr>
        <w:t>Ultrasound-guided core needle biopsy (CNB) is a minimally invasive procedure that utilizes real-time imaging to obtain tissue samples from suspicious breast lesions. This technique offers advantages such as real-time visualization, cost-effectiveness, and the ability to sample lesions not easily accessible by other methods. However, variability in radiologists' experience and technique can affect the adequacy of tissue samples and diagnostic accuracy. Inadequate sampling may lead to false-negative results or the need for repeat biopsies, delaying diagnosis and treatment.</w:t>
      </w:r>
      <w:r>
        <w:rPr>
          <w:rFonts w:asciiTheme="minorHAnsi" w:hAnsiTheme="minorHAnsi" w:cstheme="minorHAnsi"/>
          <w:vertAlign w:val="superscript"/>
        </w:rPr>
        <w:t xml:space="preserve">6 </w:t>
      </w:r>
    </w:p>
    <w:p w:rsidR="00830327" w:rsidP="3F0DCF76" w:rsidRDefault="00830327" w14:paraId="27395982" w14:textId="5A6C095F">
      <w:pPr>
        <w:pStyle w:val="Normal"/>
        <w:rPr>
          <w:rFonts w:ascii="Calibri" w:hAnsi="Calibri" w:cs="Calibri" w:asciiTheme="minorAscii" w:hAnsiTheme="minorAscii" w:cstheme="minorAscii"/>
        </w:rPr>
      </w:pPr>
    </w:p>
    <w:p w:rsidRPr="002A332E" w:rsidR="002A332E" w:rsidP="002A332E" w:rsidRDefault="002A332E" w14:paraId="0F3901CD" w14:textId="7D545477">
      <w:pPr>
        <w:rPr>
          <w:rFonts w:asciiTheme="minorHAnsi" w:hAnsiTheme="minorHAnsi" w:cstheme="minorHAnsi"/>
          <w:i/>
          <w:iCs/>
        </w:rPr>
      </w:pPr>
      <w:r>
        <w:rPr>
          <w:rFonts w:asciiTheme="minorHAnsi" w:hAnsiTheme="minorHAnsi" w:cstheme="minorHAnsi"/>
          <w:b/>
          <w:bCs/>
          <w:i/>
          <w:iCs/>
        </w:rPr>
        <w:t>Vacuum-Assisted Biopsies</w:t>
      </w:r>
    </w:p>
    <w:p w:rsidR="002A332E" w:rsidP="002A332E" w:rsidRDefault="002A332E" w14:paraId="1906D371" w14:textId="610570F8">
      <w:pPr>
        <w:rPr>
          <w:rFonts w:asciiTheme="minorHAnsi" w:hAnsiTheme="minorHAnsi" w:cstheme="minorHAnsi"/>
        </w:rPr>
      </w:pPr>
      <w:r>
        <w:rPr>
          <w:rFonts w:asciiTheme="minorHAnsi" w:hAnsiTheme="minorHAnsi" w:cstheme="minorHAnsi"/>
        </w:rPr>
        <w:t xml:space="preserve">Vacuum-assisted biopsy (VAB) devices allow for the removal of larger tissue samples using a vacuum-powered instrument. This method is particularly useful for sampling microcalcifications or small lesions detected on imaging studies. Despite its advantages, the technique requires specialized training and experience to ensure accurate lesion targeting and sample retrieval. Insufficient proficiency can result in incomplete sampling, leading to misdiagnosis or the need for additional procedures. Moreover, understanding the indications, contraindications, and potential complications of VAB is crucial for optimal patient outcomes.</w:t>
      </w:r>
      <w:r>
        <w:rPr>
          <w:rFonts w:asciiTheme="minorHAnsi" w:hAnsiTheme="minorHAnsi" w:cstheme="minorHAnsi"/>
          <w:vertAlign w:val="superscript"/>
        </w:rPr>
        <w:t>6</w:t>
      </w:r>
    </w:p>
    <w:p w:rsidRPr="002A332E" w:rsidR="002A332E" w:rsidP="002A332E" w:rsidRDefault="002A332E" w14:paraId="0A40AEF6" w14:textId="77777777">
      <w:pPr>
        <w:rPr>
          <w:rFonts w:asciiTheme="minorHAnsi" w:hAnsiTheme="minorHAnsi" w:cstheme="minorHAnsi"/>
        </w:rPr>
      </w:pPr>
    </w:p>
    <w:p w:rsidRPr="002A332E" w:rsidR="002A332E" w:rsidP="002A332E" w:rsidRDefault="002A332E" w14:paraId="35EA51D8" w14:textId="77777777">
      <w:pPr>
        <w:rPr>
          <w:rFonts w:asciiTheme="minorHAnsi" w:hAnsiTheme="minorHAnsi" w:cstheme="minorHAnsi"/>
          <w:i/>
          <w:iCs/>
        </w:rPr>
      </w:pPr>
      <w:r>
        <w:rPr>
          <w:rFonts w:asciiTheme="minorHAnsi" w:hAnsiTheme="minorHAnsi" w:cstheme="minorHAnsi"/>
          <w:b/>
          <w:bCs/>
          <w:i/>
          <w:iCs/>
        </w:rPr>
        <w:t>Localization Techniques: Hook Wire and Wire-Free Methods</w:t>
      </w:r>
    </w:p>
    <w:p w:rsidR="002A332E" w:rsidP="002A332E" w:rsidRDefault="002A332E" w14:paraId="7952A35B" w14:textId="4A981EFE">
      <w:pPr>
        <w:rPr>
          <w:rFonts w:asciiTheme="minorHAnsi" w:hAnsiTheme="minorHAnsi" w:cstheme="minorHAnsi"/>
        </w:rPr>
      </w:pPr>
      <w:r>
        <w:rPr>
          <w:rFonts w:asciiTheme="minorHAnsi" w:hAnsiTheme="minorHAnsi" w:cstheme="minorHAnsi"/>
        </w:rPr>
        <w:t>Preoperative localization of non-palpable breast lesions is essential for guiding surgical excision. Traditional hook wire localization involves inserting a wire into the lesion under imaging guidance to assist surgeons during resection. While effective, this method has limitations, including patient discomfort, wire displacement, and scheduling challenges. Wire-free localization techniques, such as radioactive seed localization and magnetic seed localization, have emerged as alternatives, offering improved patient comfort and workflow efficiency.</w:t>
      </w:r>
      <w:r>
        <w:rPr>
          <w:rFonts w:asciiTheme="minorHAnsi" w:hAnsiTheme="minorHAnsi" w:cstheme="minorHAnsi"/>
          <w:vertAlign w:val="superscript"/>
        </w:rPr>
        <w:t xml:space="preserve">7 </w:t>
      </w:r>
      <w:r>
        <w:rPr>
          <w:rFonts w:asciiTheme="minorHAnsi" w:hAnsiTheme="minorHAnsi" w:cstheme="minorHAnsi"/>
        </w:rPr>
        <w:t>However, these newer methods require radiologists to be proficient with the technology and familiar with their respective workflows. Lack of training and experience in these techniques can lead to inaccurate localization, increased operative times, and potential re-excision surgeries.</w:t>
      </w:r>
    </w:p>
    <w:p w:rsidRPr="002A332E" w:rsidR="002A332E" w:rsidP="002A332E" w:rsidRDefault="002A332E" w14:paraId="791A63A0" w14:textId="77777777">
      <w:pPr>
        <w:rPr>
          <w:rFonts w:asciiTheme="minorHAnsi" w:hAnsiTheme="minorHAnsi" w:cstheme="minorHAnsi"/>
        </w:rPr>
      </w:pPr>
    </w:p>
    <w:p w:rsidRPr="002A332E" w:rsidR="002A332E" w:rsidP="002A332E" w:rsidRDefault="002A332E" w14:paraId="7251DCBB" w14:textId="77777777">
      <w:pPr>
        <w:rPr>
          <w:rFonts w:asciiTheme="minorHAnsi" w:hAnsiTheme="minorHAnsi" w:cstheme="minorHAnsi"/>
          <w:i/>
          <w:iCs/>
        </w:rPr>
      </w:pPr>
      <w:r>
        <w:rPr>
          <w:rFonts w:asciiTheme="minorHAnsi" w:hAnsiTheme="minorHAnsi" w:cstheme="minorHAnsi"/>
          <w:b/>
          <w:bCs/>
          <w:i/>
          <w:iCs/>
        </w:rPr>
        <w:t>Addressing the Proficiency Gap</w:t>
      </w:r>
    </w:p>
    <w:p w:rsidRPr="002A332E" w:rsidR="002A332E" w:rsidP="002A332E" w:rsidRDefault="002A332E" w14:paraId="498DE9BE" w14:textId="77777777">
      <w:pPr>
        <w:rPr>
          <w:rFonts w:asciiTheme="minorHAnsi" w:hAnsiTheme="minorHAnsi" w:cstheme="minorHAnsi"/>
        </w:rPr>
      </w:pPr>
      <w:r>
        <w:rPr>
          <w:rFonts w:asciiTheme="minorHAnsi" w:hAnsiTheme="minorHAnsi" w:cstheme="minorHAnsi"/>
        </w:rPr>
        <w:t>To mitigate these challenges, targeted educational programs and hands-on training workshops are essential. These initiatives should focus on:</w:t>
      </w:r>
    </w:p>
    <w:p w:rsidRPr="002A332E" w:rsidR="002A332E" w:rsidP="002A332E" w:rsidRDefault="002A332E" w14:paraId="644D08F2" w14:textId="77777777">
      <w:pPr>
        <w:numPr>
          <w:ilvl w:val="0"/>
          <w:numId w:val="7"/>
        </w:numPr>
        <w:rPr>
          <w:rFonts w:asciiTheme="minorHAnsi" w:hAnsiTheme="minorHAnsi" w:cstheme="minorHAnsi"/>
        </w:rPr>
      </w:pPr>
      <w:r>
        <w:rPr>
          <w:rFonts w:asciiTheme="minorHAnsi" w:hAnsiTheme="minorHAnsi" w:cstheme="minorHAnsi"/>
          <w:b/>
          <w:bCs/>
        </w:rPr>
        <w:t>Standardizing Protocols:</w:t>
      </w:r>
      <w:r>
        <w:rPr>
          <w:rFonts w:asciiTheme="minorHAnsi" w:hAnsiTheme="minorHAnsi" w:cstheme="minorHAnsi"/>
        </w:rPr>
        <w:t xml:space="preserve"> Developing and disseminating standardized protocols for biopsy and localization procedures to ensure consistency and reduce variability in practice.</w:t>
      </w:r>
    </w:p>
    <w:p w:rsidRPr="002A332E" w:rsidR="002A332E" w:rsidP="002A332E" w:rsidRDefault="002A332E" w14:paraId="7A5D0D78" w14:textId="77777777">
      <w:pPr>
        <w:numPr>
          <w:ilvl w:val="0"/>
          <w:numId w:val="7"/>
        </w:numPr>
        <w:rPr>
          <w:rFonts w:asciiTheme="minorHAnsi" w:hAnsiTheme="minorHAnsi" w:cstheme="minorHAnsi"/>
        </w:rPr>
      </w:pPr>
      <w:r>
        <w:rPr>
          <w:rFonts w:asciiTheme="minorHAnsi" w:hAnsiTheme="minorHAnsi" w:cstheme="minorHAnsi"/>
          <w:b/>
          <w:bCs/>
        </w:rPr>
        <w:t>Simulation-Based Training:</w:t>
      </w:r>
      <w:r>
        <w:rPr>
          <w:rFonts w:asciiTheme="minorHAnsi" w:hAnsiTheme="minorHAnsi" w:cstheme="minorHAnsi"/>
        </w:rPr>
        <w:t xml:space="preserve"> Implementing simulation-based training modules to allow radiologists to practice and refine their skills in a controlled environment before performing procedures on patients.</w:t>
      </w:r>
    </w:p>
    <w:p w:rsidRPr="002A332E" w:rsidR="002A332E" w:rsidP="002A332E" w:rsidRDefault="002A332E" w14:paraId="5EDAA177" w14:textId="77777777">
      <w:pPr>
        <w:numPr>
          <w:ilvl w:val="0"/>
          <w:numId w:val="7"/>
        </w:numPr>
        <w:rPr>
          <w:rFonts w:asciiTheme="minorHAnsi" w:hAnsiTheme="minorHAnsi" w:cstheme="minorHAnsi"/>
        </w:rPr>
      </w:pPr>
      <w:r>
        <w:rPr>
          <w:rFonts w:asciiTheme="minorHAnsi" w:hAnsiTheme="minorHAnsi" w:cstheme="minorHAnsi"/>
          <w:b/>
          <w:bCs/>
        </w:rPr>
        <w:t>Continuous Professional Development:</w:t>
      </w:r>
      <w:r>
        <w:rPr>
          <w:rFonts w:asciiTheme="minorHAnsi" w:hAnsiTheme="minorHAnsi" w:cstheme="minorHAnsi"/>
        </w:rPr>
        <w:t xml:space="preserve"> Encouraging participation in continuing medical education (CME) courses and workshops to stay updated on advancements in biopsy and localization techniques.</w:t>
      </w:r>
    </w:p>
    <w:p w:rsidR="002A332E" w:rsidP="002A332E" w:rsidRDefault="002A332E" w14:paraId="0471293A" w14:textId="77777777">
      <w:pPr>
        <w:numPr>
          <w:ilvl w:val="0"/>
          <w:numId w:val="7"/>
        </w:numPr>
        <w:rPr>
          <w:rFonts w:asciiTheme="minorHAnsi" w:hAnsiTheme="minorHAnsi" w:cstheme="minorHAnsi"/>
        </w:rPr>
      </w:pPr>
      <w:r>
        <w:rPr>
          <w:rFonts w:asciiTheme="minorHAnsi" w:hAnsiTheme="minorHAnsi" w:cstheme="minorHAnsi"/>
          <w:b/>
          <w:bCs/>
        </w:rPr>
        <w:t>Multidisciplinary Collaboration:</w:t>
      </w:r>
      <w:r>
        <w:rPr>
          <w:rFonts w:asciiTheme="minorHAnsi" w:hAnsiTheme="minorHAnsi" w:cstheme="minorHAnsi"/>
        </w:rPr>
        <w:t xml:space="preserve"> Promoting collaboration between radiologists, surgeons, and pathologists to enhance communication and ensure a comprehensive approach to patient care.</w:t>
      </w:r>
    </w:p>
    <w:p w:rsidRPr="002A332E" w:rsidR="00914AFB" w:rsidP="00914AFB" w:rsidRDefault="00914AFB" w14:paraId="63D6EDF3" w14:textId="77777777">
      <w:pPr>
        <w:ind w:left="720"/>
        <w:rPr>
          <w:rFonts w:asciiTheme="minorHAnsi" w:hAnsiTheme="minorHAnsi" w:cstheme="minorHAnsi"/>
        </w:rPr>
      </w:pPr>
    </w:p>
    <w:p w:rsidRPr="002A332E" w:rsidR="002A332E" w:rsidP="002A332E" w:rsidRDefault="002A332E" w14:paraId="04474521" w14:textId="77777777">
      <w:pPr>
        <w:rPr>
          <w:rFonts w:asciiTheme="minorHAnsi" w:hAnsiTheme="minorHAnsi" w:cstheme="minorHAnsi"/>
        </w:rPr>
      </w:pPr>
      <w:r>
        <w:rPr>
          <w:rFonts w:asciiTheme="minorHAnsi" w:hAnsiTheme="minorHAnsi" w:cstheme="minorHAnsi"/>
        </w:rPr>
        <w:t>By addressing the proficiency gap through these strategies, radiologists can improve the accuracy of breast lesion diagnosis and localization, leading to better patient outcomes and more efficient healthcare delivery.</w:t>
      </w:r>
    </w:p>
    <w:p w:rsidRPr="0022737C" w:rsidR="00D029C7" w:rsidP="00D029C7" w:rsidRDefault="00D029C7" w14:paraId="48ED5021" w14:textId="77777777"/>
    <w:p w:rsidR="00830327" w:rsidP="00D029C7" w:rsidRDefault="00830327" w14:paraId="7ED6B43D" w14:textId="77777777">
      <w:pPr>
        <w:rPr>
          <w:rFonts w:asciiTheme="minorHAnsi" w:hAnsiTheme="minorHAnsi" w:cstheme="minorHAnsi"/>
          <w:b/>
          <w:bCs/>
          <w:sz w:val="28"/>
          <w:szCs w:val="28"/>
        </w:rPr>
      </w:pPr>
    </w:p>
    <w:p w:rsidR="00F86457" w:rsidP="00D029C7" w:rsidRDefault="00D029C7" w14:paraId="2D2DFDF5" w14:textId="0BF987AD">
      <w:pPr>
        <w:rPr>
          <w:rFonts w:asciiTheme="minorHAnsi" w:hAnsiTheme="minorHAnsi" w:cstheme="minorHAnsi"/>
        </w:rPr>
      </w:pPr>
      <w:r w:rsidRPr="3F0DCF76" w:rsidR="05BCE788">
        <w:rPr>
          <w:rFonts w:ascii="Calibri" w:hAnsi="Calibri" w:cs="Calibri" w:asciiTheme="minorAscii" w:hAnsiTheme="minorAscii" w:cstheme="minorAscii"/>
          <w:b w:val="1"/>
          <w:bCs w:val="1"/>
          <w:sz w:val="28"/>
          <w:szCs w:val="28"/>
        </w:rPr>
        <w:t>Clinical Practice Gap 3:</w:t>
      </w:r>
      <w:r w:rsidRPr="3F0DCF76" w:rsidR="05BCE788">
        <w:rPr>
          <w:rFonts w:ascii="Calibri" w:hAnsi="Calibri" w:cs="Calibri" w:asciiTheme="minorAscii" w:hAnsiTheme="minorAscii" w:cstheme="minorAscii"/>
        </w:rPr>
        <w:t xml:space="preserve"> </w:t>
      </w:r>
    </w:p>
    <w:p w:rsidR="3F0DCF76" w:rsidP="3F0DCF76" w:rsidRDefault="3F0DCF76" w14:paraId="31855960" w14:textId="48452D39">
      <w:pPr>
        <w:rPr>
          <w:rFonts w:ascii="Calibri" w:hAnsi="Calibri" w:cs="Calibri" w:asciiTheme="minorAscii" w:hAnsiTheme="minorAscii" w:cstheme="minorAscii"/>
          <w:b w:val="1"/>
          <w:bCs w:val="1"/>
          <w:sz w:val="28"/>
          <w:szCs w:val="28"/>
        </w:rPr>
      </w:pPr>
    </w:p>
    <w:p w:rsidR="00D029C7" w:rsidP="00D029C7" w:rsidRDefault="00914AFB" w14:paraId="5327CC8B" w14:textId="1012680A">
      <w:pPr>
        <w:rPr>
          <w:rFonts w:asciiTheme="minorHAnsi" w:hAnsiTheme="minorHAnsi" w:cstheme="minorHAnsi"/>
          <w:b/>
          <w:bCs/>
          <w:sz w:val="28"/>
          <w:szCs w:val="28"/>
        </w:rPr>
      </w:pPr>
      <w:r>
        <w:rPr>
          <w:rFonts w:asciiTheme="minorHAnsi" w:hAnsiTheme="minorHAnsi" w:cstheme="minorHAnsi"/>
          <w:b/>
          <w:bCs/>
          <w:sz w:val="28"/>
          <w:szCs w:val="28"/>
        </w:rPr>
        <w:t>Breast tissue markers are often underutilized or improperly applied in clinical practice, with radiologists and surgeons lacking consistent education on their role in biopsy planning, lesion localization, and surgical excision. This results in missed opportunities for improving preoperative planning, reducing unnecessary surgery, and enhancing patient outcomes.</w:t>
      </w:r>
    </w:p>
    <w:p w:rsidRPr="007177B8" w:rsidR="009D5C3B" w:rsidP="00D029C7" w:rsidRDefault="009D5C3B" w14:paraId="3C2ED5AA" w14:textId="77777777">
      <w:pPr>
        <w:rPr>
          <w:rFonts w:asciiTheme="minorHAnsi" w:hAnsiTheme="minorHAnsi" w:cstheme="minorHAnsi"/>
          <w:b/>
          <w:bCs/>
          <w:sz w:val="28"/>
          <w:szCs w:val="28"/>
        </w:rPr>
      </w:pPr>
    </w:p>
    <w:p w:rsidRPr="009D5C3B" w:rsidR="005E633A" w:rsidP="005E633A" w:rsidRDefault="005E633A" w14:paraId="5FFCEE3D" w14:textId="49E26130">
      <w:pPr>
        <w:rPr>
          <w:rFonts w:asciiTheme="minorHAnsi" w:hAnsiTheme="minorHAnsi" w:cstheme="minorHAnsi"/>
        </w:rPr>
      </w:pPr>
      <w:r>
        <w:rPr>
          <w:rFonts w:asciiTheme="minorHAnsi" w:hAnsiTheme="minorHAnsi" w:cstheme="minorHAnsi"/>
        </w:rPr>
        <w:t xml:space="preserve">Breast tissue markers play a pivotal role in the accurate localization and management of breast lesions. These markers are small devices placed within or near a suspicious lesion during a biopsy to guide subsequent surgical excision or radiotherapy. Their proper use can enhance preoperative planning, reduce unnecessary surgeries, and improve patient outcomes. However, in clinical practice, these markers are often underutilized or improperly applied, primarily due to inconsistent education and training among radiologists and surgeons</w:t>
      </w:r>
      <w:r>
        <w:rPr>
          <w:rFonts w:asciiTheme="minorHAnsi" w:hAnsiTheme="minorHAnsi" w:cstheme="minorHAnsi"/>
          <w:vertAlign w:val="superscript"/>
        </w:rPr>
        <w:t>.8</w:t>
      </w:r>
      <w:r>
        <w:rPr>
          <w:rFonts w:asciiTheme="minorHAnsi" w:hAnsiTheme="minorHAnsi" w:cstheme="minorHAnsi"/>
        </w:rPr>
        <w:t xml:space="preserve"> </w:t>
      </w:r>
    </w:p>
    <w:p w:rsidRPr="005E633A" w:rsidR="005E633A" w:rsidP="005E633A" w:rsidRDefault="005E633A" w14:paraId="1A2C0C09" w14:textId="77777777">
      <w:pPr>
        <w:rPr>
          <w:rFonts w:asciiTheme="minorHAnsi" w:hAnsiTheme="minorHAnsi" w:cstheme="minorHAnsi"/>
        </w:rPr>
      </w:pPr>
    </w:p>
    <w:p w:rsidRPr="00B16DF7" w:rsidR="005E633A" w:rsidP="005E633A" w:rsidRDefault="005E633A" w14:paraId="054C792C" w14:textId="77777777">
      <w:pPr>
        <w:rPr>
          <w:rFonts w:asciiTheme="minorHAnsi" w:hAnsiTheme="minorHAnsi" w:cstheme="minorHAnsi"/>
          <w:b/>
          <w:bCs/>
          <w:i/>
          <w:iCs/>
        </w:rPr>
      </w:pPr>
      <w:r>
        <w:rPr>
          <w:rFonts w:asciiTheme="minorHAnsi" w:hAnsiTheme="minorHAnsi" w:cstheme="minorHAnsi"/>
          <w:b/>
          <w:bCs/>
          <w:i/>
          <w:iCs/>
        </w:rPr>
        <w:t>Role of Breast Tissue Markers in Clinical Practice</w:t>
      </w:r>
    </w:p>
    <w:p w:rsidRPr="005E633A" w:rsidR="005E633A" w:rsidP="005E633A" w:rsidRDefault="005E633A" w14:paraId="61D14CBF" w14:textId="77777777">
      <w:pPr>
        <w:rPr>
          <w:rFonts w:asciiTheme="minorHAnsi" w:hAnsiTheme="minorHAnsi" w:cstheme="minorHAnsi"/>
        </w:rPr>
      </w:pPr>
      <w:r>
        <w:rPr>
          <w:rFonts w:asciiTheme="minorHAnsi" w:hAnsiTheme="minorHAnsi" w:cstheme="minorHAnsi"/>
        </w:rPr>
        <w:t>The primary functions of breast tissue markers include:</w:t>
      </w:r>
    </w:p>
    <w:p w:rsidRPr="005E633A" w:rsidR="005E633A" w:rsidP="005E633A" w:rsidRDefault="005E633A" w14:paraId="357A2B55" w14:textId="77777777">
      <w:pPr>
        <w:numPr>
          <w:ilvl w:val="0"/>
          <w:numId w:val="11"/>
        </w:numPr>
        <w:rPr>
          <w:rFonts w:asciiTheme="minorHAnsi" w:hAnsiTheme="minorHAnsi" w:cstheme="minorHAnsi"/>
        </w:rPr>
      </w:pPr>
      <w:r>
        <w:rPr>
          <w:rFonts w:asciiTheme="minorHAnsi" w:hAnsiTheme="minorHAnsi" w:cstheme="minorHAnsi"/>
          <w:b/>
          <w:bCs/>
        </w:rPr>
        <w:t>Biopsy Planning:</w:t>
      </w:r>
      <w:r>
        <w:rPr>
          <w:rFonts w:asciiTheme="minorHAnsi" w:hAnsiTheme="minorHAnsi" w:cstheme="minorHAnsi"/>
        </w:rPr>
        <w:t xml:space="preserve"> Markers assist in accurately targeting lesions during image-guided biopsies, such as stereotactic or ultrasound-guided procedures. This ensures precise sampling of the suspicious area, leading to accurate diagnoses. </w:t>
      </w:r>
    </w:p>
    <w:p w:rsidRPr="005E633A" w:rsidR="005E633A" w:rsidP="005E633A" w:rsidRDefault="005E633A" w14:paraId="7FC50F28" w14:textId="77777777">
      <w:pPr>
        <w:numPr>
          <w:ilvl w:val="0"/>
          <w:numId w:val="11"/>
        </w:numPr>
        <w:rPr>
          <w:rFonts w:asciiTheme="minorHAnsi" w:hAnsiTheme="minorHAnsi" w:cstheme="minorHAnsi"/>
        </w:rPr>
      </w:pPr>
      <w:r>
        <w:rPr>
          <w:rFonts w:asciiTheme="minorHAnsi" w:hAnsiTheme="minorHAnsi" w:cstheme="minorHAnsi"/>
          <w:b/>
          <w:bCs/>
        </w:rPr>
        <w:t>Lesion Localization:</w:t>
      </w:r>
      <w:r>
        <w:rPr>
          <w:rFonts w:asciiTheme="minorHAnsi" w:hAnsiTheme="minorHAnsi" w:cstheme="minorHAnsi"/>
        </w:rPr>
        <w:t xml:space="preserve"> Post-biopsy, markers serve as reference points for surgeons, facilitating the accurate localization of non-palpable lesions during surgical excision. This is particularly crucial for lesions identified solely through imaging modalities. </w:t>
      </w:r>
    </w:p>
    <w:p w:rsidRPr="005E633A" w:rsidR="005E633A" w:rsidP="005E633A" w:rsidRDefault="005E633A" w14:paraId="3F2226FA" w14:textId="77777777">
      <w:pPr>
        <w:numPr>
          <w:ilvl w:val="0"/>
          <w:numId w:val="11"/>
        </w:numPr>
        <w:rPr>
          <w:rFonts w:asciiTheme="minorHAnsi" w:hAnsiTheme="minorHAnsi" w:cstheme="minorHAnsi"/>
        </w:rPr>
      </w:pPr>
      <w:r>
        <w:rPr>
          <w:rFonts w:asciiTheme="minorHAnsi" w:hAnsiTheme="minorHAnsi" w:cstheme="minorHAnsi"/>
          <w:b/>
          <w:bCs/>
        </w:rPr>
        <w:t>Surgical Excision:</w:t>
      </w:r>
      <w:r>
        <w:rPr>
          <w:rFonts w:asciiTheme="minorHAnsi" w:hAnsiTheme="minorHAnsi" w:cstheme="minorHAnsi"/>
        </w:rPr>
        <w:t xml:space="preserve"> Markers guide surgeons in excising the targeted tissue with clear margins, minimizing the removal of healthy tissue and reducing the likelihood of re-excision. This precision contributes to better cosmetic outcomes and patient satisfaction. </w:t>
      </w:r>
    </w:p>
    <w:p w:rsidRPr="009D5C3B" w:rsidR="005E633A" w:rsidP="005E633A" w:rsidRDefault="005E633A" w14:paraId="511496F4" w14:textId="77777777">
      <w:pPr>
        <w:rPr>
          <w:rFonts w:asciiTheme="minorHAnsi" w:hAnsiTheme="minorHAnsi" w:cstheme="minorHAnsi"/>
        </w:rPr>
      </w:pPr>
    </w:p>
    <w:p w:rsidRPr="005E633A" w:rsidR="005E633A" w:rsidP="005E633A" w:rsidRDefault="005E633A" w14:paraId="1850125E" w14:textId="0EE3B7F3">
      <w:pPr>
        <w:rPr>
          <w:rFonts w:asciiTheme="minorHAnsi" w:hAnsiTheme="minorHAnsi" w:cstheme="minorHAnsi"/>
          <w:i/>
          <w:iCs/>
        </w:rPr>
      </w:pPr>
      <w:r>
        <w:rPr>
          <w:rFonts w:asciiTheme="minorHAnsi" w:hAnsiTheme="minorHAnsi" w:cstheme="minorHAnsi"/>
          <w:b/>
          <w:bCs/>
          <w:i/>
          <w:iCs/>
        </w:rPr>
        <w:t>Consequences of Underutilization and Improper Application</w:t>
      </w:r>
    </w:p>
    <w:p w:rsidRPr="005E633A" w:rsidR="005E633A" w:rsidP="005E633A" w:rsidRDefault="005E633A" w14:paraId="52DD65AE" w14:textId="77777777">
      <w:pPr>
        <w:rPr>
          <w:rFonts w:asciiTheme="minorHAnsi" w:hAnsiTheme="minorHAnsi" w:cstheme="minorHAnsi"/>
        </w:rPr>
      </w:pPr>
      <w:r>
        <w:rPr>
          <w:rFonts w:asciiTheme="minorHAnsi" w:hAnsiTheme="minorHAnsi" w:cstheme="minorHAnsi"/>
        </w:rPr>
        <w:t>When breast tissue markers are underutilized or improperly applied, several adverse outcomes may ensue:</w:t>
      </w:r>
    </w:p>
    <w:p w:rsidRPr="005E633A" w:rsidR="005E633A" w:rsidP="005E633A" w:rsidRDefault="005E633A" w14:paraId="1292B3A2" w14:textId="77777777">
      <w:pPr>
        <w:numPr>
          <w:ilvl w:val="0"/>
          <w:numId w:val="12"/>
        </w:numPr>
        <w:rPr>
          <w:rFonts w:asciiTheme="minorHAnsi" w:hAnsiTheme="minorHAnsi" w:cstheme="minorHAnsi"/>
        </w:rPr>
      </w:pPr>
      <w:r>
        <w:rPr>
          <w:rFonts w:asciiTheme="minorHAnsi" w:hAnsiTheme="minorHAnsi" w:cstheme="minorHAnsi"/>
          <w:b/>
          <w:bCs/>
        </w:rPr>
        <w:t>Inaccurate Lesion Targeting:</w:t>
      </w:r>
      <w:r>
        <w:rPr>
          <w:rFonts w:asciiTheme="minorHAnsi" w:hAnsiTheme="minorHAnsi" w:cstheme="minorHAnsi"/>
        </w:rPr>
        <w:t xml:space="preserve"> Without precise markers, there is an increased risk of missing the lesion during biopsy or surgery, leading to misdiagnosis or incomplete excision.</w:t>
      </w:r>
    </w:p>
    <w:p w:rsidRPr="005E633A" w:rsidR="005E633A" w:rsidP="005E633A" w:rsidRDefault="005E633A" w14:paraId="21020527" w14:textId="77777777">
      <w:pPr>
        <w:numPr>
          <w:ilvl w:val="0"/>
          <w:numId w:val="12"/>
        </w:numPr>
        <w:rPr>
          <w:rFonts w:asciiTheme="minorHAnsi" w:hAnsiTheme="minorHAnsi" w:cstheme="minorHAnsi"/>
        </w:rPr>
      </w:pPr>
      <w:r>
        <w:rPr>
          <w:rFonts w:asciiTheme="minorHAnsi" w:hAnsiTheme="minorHAnsi" w:cstheme="minorHAnsi"/>
          <w:b/>
          <w:bCs/>
        </w:rPr>
        <w:t>Unnecessary Surgeries:</w:t>
      </w:r>
      <w:r>
        <w:rPr>
          <w:rFonts w:asciiTheme="minorHAnsi" w:hAnsiTheme="minorHAnsi" w:cstheme="minorHAnsi"/>
        </w:rPr>
        <w:t xml:space="preserve"> Lack of accurate localization may result in broader tissue removal or multiple surgeries, subjecting patients to increased physical and emotional stress.</w:t>
      </w:r>
    </w:p>
    <w:p w:rsidR="005E633A" w:rsidP="005E633A" w:rsidRDefault="005E633A" w14:paraId="658C5E97" w14:textId="77777777">
      <w:pPr>
        <w:numPr>
          <w:ilvl w:val="0"/>
          <w:numId w:val="12"/>
        </w:numPr>
        <w:rPr>
          <w:rFonts w:asciiTheme="minorHAnsi" w:hAnsiTheme="minorHAnsi" w:cstheme="minorHAnsi"/>
        </w:rPr>
      </w:pPr>
      <w:r>
        <w:rPr>
          <w:rFonts w:asciiTheme="minorHAnsi" w:hAnsiTheme="minorHAnsi" w:cstheme="minorHAnsi"/>
          <w:b/>
          <w:bCs/>
        </w:rPr>
        <w:t>Compromised Patient Outcomes:</w:t>
      </w:r>
      <w:r>
        <w:rPr>
          <w:rFonts w:asciiTheme="minorHAnsi" w:hAnsiTheme="minorHAnsi" w:cstheme="minorHAnsi"/>
        </w:rPr>
        <w:t xml:space="preserve"> Improper application of markers can lead to inadequate treatment, higher recurrence rates, and diminished trust in the healthcare system.</w:t>
      </w:r>
    </w:p>
    <w:p w:rsidRPr="005E633A" w:rsidR="009D5C3B" w:rsidP="009D5C3B" w:rsidRDefault="009D5C3B" w14:paraId="2F0CEED9" w14:textId="77777777">
      <w:pPr>
        <w:ind w:left="720"/>
        <w:rPr>
          <w:rFonts w:asciiTheme="minorHAnsi" w:hAnsiTheme="minorHAnsi" w:cstheme="minorHAnsi"/>
        </w:rPr>
      </w:pPr>
    </w:p>
    <w:p w:rsidRPr="005E633A" w:rsidR="005E633A" w:rsidP="005E633A" w:rsidRDefault="005E633A" w14:paraId="5515B440" w14:textId="77777777">
      <w:pPr>
        <w:rPr>
          <w:rFonts w:asciiTheme="minorHAnsi" w:hAnsiTheme="minorHAnsi" w:cstheme="minorHAnsi"/>
          <w:i/>
          <w:iCs/>
        </w:rPr>
      </w:pPr>
      <w:r>
        <w:rPr>
          <w:rFonts w:asciiTheme="minorHAnsi" w:hAnsiTheme="minorHAnsi" w:cstheme="minorHAnsi"/>
          <w:b/>
          <w:bCs/>
          <w:i/>
          <w:iCs/>
        </w:rPr>
        <w:t>Addressing the Gap Through Education and Training</w:t>
      </w:r>
    </w:p>
    <w:p w:rsidRPr="005E633A" w:rsidR="005E633A" w:rsidP="005E633A" w:rsidRDefault="005E633A" w14:paraId="3CB0DC95" w14:textId="77777777">
      <w:pPr>
        <w:rPr>
          <w:rFonts w:asciiTheme="minorHAnsi" w:hAnsiTheme="minorHAnsi" w:cstheme="minorHAnsi"/>
        </w:rPr>
      </w:pPr>
      <w:r>
        <w:rPr>
          <w:rFonts w:asciiTheme="minorHAnsi" w:hAnsiTheme="minorHAnsi" w:cstheme="minorHAnsi"/>
        </w:rPr>
        <w:t>To bridge this clinical practice gap, it is imperative to implement comprehensive education and training programs for radiologists and surgeons:</w:t>
      </w:r>
    </w:p>
    <w:p w:rsidRPr="005E633A" w:rsidR="005E633A" w:rsidP="005E633A" w:rsidRDefault="005E633A" w14:paraId="680B1818" w14:textId="77777777">
      <w:pPr>
        <w:numPr>
          <w:ilvl w:val="0"/>
          <w:numId w:val="13"/>
        </w:numPr>
        <w:rPr>
          <w:rFonts w:asciiTheme="minorHAnsi" w:hAnsiTheme="minorHAnsi" w:cstheme="minorHAnsi"/>
        </w:rPr>
      </w:pPr>
      <w:r>
        <w:rPr>
          <w:rFonts w:asciiTheme="minorHAnsi" w:hAnsiTheme="minorHAnsi" w:cstheme="minorHAnsi"/>
          <w:b/>
          <w:bCs/>
        </w:rPr>
        <w:t>Standardized Protocols:</w:t>
      </w:r>
      <w:r>
        <w:rPr>
          <w:rFonts w:asciiTheme="minorHAnsi" w:hAnsiTheme="minorHAnsi" w:cstheme="minorHAnsi"/>
        </w:rPr>
        <w:t xml:space="preserve"> Developing and disseminating standardized guidelines for the placement and utilization of breast tissue markers can ensure uniformity in practice and enhance procedural accuracy.</w:t>
      </w:r>
    </w:p>
    <w:p w:rsidRPr="005E633A" w:rsidR="005E633A" w:rsidP="005E633A" w:rsidRDefault="005E633A" w14:paraId="0CA83401" w14:textId="77777777">
      <w:pPr>
        <w:numPr>
          <w:ilvl w:val="0"/>
          <w:numId w:val="13"/>
        </w:numPr>
        <w:rPr>
          <w:rFonts w:asciiTheme="minorHAnsi" w:hAnsiTheme="minorHAnsi" w:cstheme="minorHAnsi"/>
        </w:rPr>
      </w:pPr>
      <w:r>
        <w:rPr>
          <w:rFonts w:asciiTheme="minorHAnsi" w:hAnsiTheme="minorHAnsi" w:cstheme="minorHAnsi"/>
          <w:b/>
          <w:bCs/>
        </w:rPr>
        <w:t>Hands-On Workshops:</w:t>
      </w:r>
      <w:r>
        <w:rPr>
          <w:rFonts w:asciiTheme="minorHAnsi" w:hAnsiTheme="minorHAnsi" w:cstheme="minorHAnsi"/>
        </w:rPr>
        <w:t xml:space="preserve"> Conducting hands-on training sessions and workshops can equip healthcare professionals with the necessary skills to effectively apply these markers, thereby reducing variability in clinical practice.</w:t>
      </w:r>
    </w:p>
    <w:p w:rsidR="005E633A" w:rsidP="005E633A" w:rsidRDefault="005E633A" w14:paraId="2BDFB154" w14:textId="77777777">
      <w:pPr>
        <w:numPr>
          <w:ilvl w:val="0"/>
          <w:numId w:val="13"/>
        </w:numPr>
        <w:rPr>
          <w:rFonts w:asciiTheme="minorHAnsi" w:hAnsiTheme="minorHAnsi" w:cstheme="minorHAnsi"/>
        </w:rPr>
      </w:pPr>
      <w:r>
        <w:rPr>
          <w:rFonts w:asciiTheme="minorHAnsi" w:hAnsiTheme="minorHAnsi" w:cstheme="minorHAnsi"/>
          <w:b/>
          <w:bCs/>
        </w:rPr>
        <w:t>Continuing Medical Education (CME):</w:t>
      </w:r>
      <w:r>
        <w:rPr>
          <w:rFonts w:asciiTheme="minorHAnsi" w:hAnsiTheme="minorHAnsi" w:cstheme="minorHAnsi"/>
        </w:rPr>
        <w:t xml:space="preserve"> Incorporating the latest advancements and best practices related to breast tissue markers into CME programs can keep practitioners updated and proficient in their use.</w:t>
      </w:r>
    </w:p>
    <w:p w:rsidRPr="005E633A" w:rsidR="009D5C3B" w:rsidP="009D5C3B" w:rsidRDefault="009D5C3B" w14:paraId="41D7E5AC" w14:textId="77777777">
      <w:pPr>
        <w:ind w:left="720"/>
        <w:rPr>
          <w:rFonts w:asciiTheme="minorHAnsi" w:hAnsiTheme="minorHAnsi" w:cstheme="minorHAnsi"/>
        </w:rPr>
      </w:pPr>
    </w:p>
    <w:p w:rsidRPr="005E633A" w:rsidR="005E633A" w:rsidP="005E633A" w:rsidRDefault="005E633A" w14:paraId="3FA2A860" w14:textId="77777777">
      <w:pPr>
        <w:rPr>
          <w:rFonts w:asciiTheme="minorHAnsi" w:hAnsiTheme="minorHAnsi" w:cstheme="minorHAnsi"/>
        </w:rPr>
      </w:pPr>
      <w:r>
        <w:rPr>
          <w:rFonts w:asciiTheme="minorHAnsi" w:hAnsiTheme="minorHAnsi" w:cstheme="minorHAnsi"/>
        </w:rPr>
        <w:t>By addressing this gap through targeted education and training, the healthcare community can optimize the use of breast tissue markers, leading to improved preoperative planning, reduced unnecessary surgeries, and enhanced patient outcomes.</w:t>
      </w:r>
    </w:p>
    <w:p w:rsidR="00176388" w:rsidP="00D029C7" w:rsidRDefault="00176388" w14:paraId="4D030EBB" w14:textId="77777777"/>
    <w:p w:rsidR="005E633A" w:rsidP="00D029C7" w:rsidRDefault="005E633A" w14:paraId="5E75D392" w14:textId="77777777">
      <w:pPr>
        <w:rPr>
          <w:b/>
          <w:bCs/>
        </w:rPr>
      </w:pPr>
    </w:p>
    <w:p w:rsidR="00F86457" w:rsidP="00D029C7" w:rsidRDefault="0098347B" w14:paraId="05AA19B5" w14:textId="77777777">
      <w:pPr>
        <w:rPr>
          <w:rFonts w:asciiTheme="minorHAnsi" w:hAnsiTheme="minorHAnsi" w:cstheme="minorHAnsi"/>
          <w:b/>
          <w:bCs/>
          <w:sz w:val="28"/>
          <w:szCs w:val="28"/>
        </w:rPr>
      </w:pPr>
      <w:r>
        <w:rPr>
          <w:rFonts w:asciiTheme="minorHAnsi" w:hAnsiTheme="minorHAnsi" w:cstheme="minorHAnsi"/>
          <w:b/>
          <w:bCs/>
          <w:sz w:val="28"/>
          <w:szCs w:val="28"/>
        </w:rPr>
        <w:t xml:space="preserve">Conclusion: </w:t>
      </w:r>
    </w:p>
    <w:p w:rsidRPr="0098347B" w:rsidR="00D37720" w:rsidP="00D029C7" w:rsidRDefault="0098347B" w14:paraId="21FC9068" w14:textId="58746DEE">
      <w:pPr>
        <w:rPr>
          <w:rFonts w:asciiTheme="minorHAnsi" w:hAnsiTheme="minorHAnsi" w:cstheme="minorHAnsi"/>
          <w:b/>
          <w:bCs/>
          <w:sz w:val="28"/>
          <w:szCs w:val="28"/>
        </w:rPr>
      </w:pPr>
      <w:r>
        <w:rPr>
          <w:rFonts w:asciiTheme="minorHAnsi" w:hAnsiTheme="minorHAnsi" w:cstheme="minorHAnsi"/>
          <w:b/>
          <w:bCs/>
          <w:sz w:val="28"/>
          <w:szCs w:val="28"/>
        </w:rPr>
        <w:t>Addressing Diagnostic Disparities in Southeast Asia: Enhancing Breast Cancer Detection and Management</w:t>
      </w:r>
    </w:p>
    <w:p w:rsidRPr="0098347B" w:rsidR="00D37720" w:rsidP="00D029C7" w:rsidRDefault="00D37720" w14:paraId="3EBBD489" w14:textId="77777777">
      <w:pPr>
        <w:rPr>
          <w:rFonts w:asciiTheme="minorHAnsi" w:hAnsiTheme="minorHAnsi" w:cstheme="minorHAnsi"/>
        </w:rPr>
      </w:pPr>
    </w:p>
    <w:p w:rsidRPr="0098347B" w:rsidR="0098347B" w:rsidP="00D029C7" w:rsidRDefault="0098347B" w14:paraId="5C5D9898" w14:textId="6F3433C3">
      <w:r>
        <w:rPr>
          <w:rFonts w:asciiTheme="minorHAnsi" w:hAnsiTheme="minorHAnsi" w:cstheme="minorHAnsi"/>
        </w:rPr>
        <w:t>Breast cancer is rising in prevalence among Southeast Asian women, underscoring the urgent need for high-quality, early detection and standardized diagnostic approaches. However, significant disparities exist in breast cancer detection across the region, particularly between radiologists in developing and developed Southeast Asian countries. A recent study comparing radiologists' performance in these settings with their Australian counterparts found that radiologists in developing Southeast Asian countries demonstrated significantly lower diagnostic accuracy, specificity, and lesion localization sensitivity, largely due to limited experience, fewer hours of mammography reading per week, and reduced access to specialized training.</w:t>
      </w:r>
      <w:r>
        <w:rPr>
          <w:vertAlign w:val="superscript"/>
        </w:rPr>
        <w:t xml:space="preserve">2 </w:t>
      </w:r>
      <w:r>
        <w:rPr>
          <w:rFonts w:asciiTheme="minorHAnsi" w:hAnsiTheme="minorHAnsi" w:cstheme="minorHAnsi"/>
        </w:rPr>
        <w:t xml:space="preserve">These findings highlight the critical need for innovative, hands-on educational programs that enhance radiologists' ability to accurately detect and manage breast lesions. By hosting this workshop in Southeast Asia, we aim to address these disparities by providing targeted, competency-based training in biopsy and localization techniques. This initiative aligns with global efforts to improve health equity and ensures that healthcare providers in the region are equipped with the necessary skills to enhance breast cancer detection, reduce diagnostic variability, and improve patient outcomes. </w:t>
      </w:r>
    </w:p>
    <w:p w:rsidR="00D37720" w:rsidP="00D029C7" w:rsidRDefault="00D37720" w14:paraId="017A3C70" w14:textId="77777777"/>
    <w:p w:rsidR="00D37720" w:rsidP="00D029C7" w:rsidRDefault="00D37720" w14:paraId="7F79504F" w14:textId="77777777"/>
    <w:p w:rsidR="00D37720" w:rsidP="00D029C7" w:rsidRDefault="00D37720" w14:paraId="77CAAEF0" w14:textId="77777777"/>
    <w:p w:rsidRPr="008549F8" w:rsidR="0098347B" w:rsidP="3F0DCF76" w:rsidRDefault="002E21E7" w14:paraId="35939D88" w14:textId="5D20A8AC">
      <w:pPr>
        <w:pStyle w:val="Normal"/>
        <w:rPr>
          <w:rFonts w:ascii="Calibri" w:hAnsi="Calibri" w:cs="Calibri" w:asciiTheme="minorAscii" w:hAnsiTheme="minorAscii" w:cstheme="minorAscii"/>
          <w:b w:val="1"/>
          <w:bCs w:val="1"/>
          <w:sz w:val="28"/>
          <w:szCs w:val="28"/>
        </w:rPr>
      </w:pPr>
      <w:r w:rsidRPr="3F0DCF76" w:rsidR="6163F0E6">
        <w:rPr>
          <w:rFonts w:ascii="Calibri" w:hAnsi="Calibri" w:cs="Calibri" w:asciiTheme="minorAscii" w:hAnsiTheme="minorAscii" w:cstheme="minorAscii"/>
          <w:b w:val="1"/>
          <w:bCs w:val="1"/>
          <w:sz w:val="28"/>
          <w:szCs w:val="28"/>
        </w:rPr>
        <w:t xml:space="preserve">References </w:t>
      </w:r>
    </w:p>
    <w:p w:rsidR="0098347B" w:rsidP="00D029C7" w:rsidRDefault="0098347B" w14:paraId="41CFF934" w14:textId="77777777">
      <w:pPr>
        <w:rPr>
          <w:rFonts w:asciiTheme="minorHAnsi" w:hAnsiTheme="minorHAnsi" w:cstheme="minorHAnsi"/>
        </w:rPr>
      </w:pPr>
    </w:p>
    <w:p w:rsidR="002E21E7" w:rsidP="00F86344" w:rsidRDefault="002E21E7" w14:paraId="43B47BC8" w14:textId="77777777">
      <w:pPr>
        <w:rPr>
          <w:rFonts w:asciiTheme="minorHAnsi" w:hAnsiTheme="minorHAnsi" w:cstheme="minorHAnsi"/>
        </w:rPr>
      </w:pPr>
    </w:p>
    <w:p w:rsidRPr="002E21E7" w:rsidR="00F86344" w:rsidP="002E21E7" w:rsidRDefault="00F86344" w14:paraId="58474BC3" w14:textId="458E29F7">
      <w:pPr>
        <w:pStyle w:val="ListParagraph"/>
        <w:numPr>
          <w:ilvl w:val="0"/>
          <w:numId w:val="23"/>
        </w:numPr>
        <w:rPr>
          <w:rFonts w:asciiTheme="minorHAnsi" w:hAnsiTheme="minorHAnsi" w:cstheme="minorHAnsi"/>
        </w:rPr>
      </w:pPr>
      <w:r>
        <w:rPr>
          <w:rFonts w:asciiTheme="minorHAnsi" w:hAnsiTheme="minorHAnsi" w:cstheme="minorHAnsi"/>
        </w:rPr>
        <w:t xml:space="preserve">Dee EC, Laversanne M, Bhoo-Pathy N, et al. Cancer incidence and mortality estimates in 2022 in Southeast Asia: A comparative analysis. </w:t>
      </w:r>
      <w:r>
        <w:rPr>
          <w:rFonts w:asciiTheme="minorHAnsi" w:hAnsiTheme="minorHAnsi" w:cstheme="minorHAnsi"/>
          <w:i/>
          <w:iCs/>
        </w:rPr>
        <w:t>The Lancet Oncology</w:t>
      </w:r>
      <w:r>
        <w:rPr>
          <w:rFonts w:asciiTheme="minorHAnsi" w:hAnsiTheme="minorHAnsi" w:cstheme="minorHAnsi"/>
        </w:rPr>
        <w:t xml:space="preserve">. Published online February 2025. doi:10.1016/s1470-2045(25)00017-8 </w:t>
      </w:r>
    </w:p>
    <w:p w:rsidR="00F86344" w:rsidP="00F86344" w:rsidRDefault="00F86344" w14:paraId="3F4F71C3" w14:textId="77777777">
      <w:pPr>
        <w:rPr>
          <w:rFonts w:asciiTheme="minorHAnsi" w:hAnsiTheme="minorHAnsi" w:cstheme="minorHAnsi"/>
        </w:rPr>
      </w:pPr>
    </w:p>
    <w:p w:rsidRPr="002E21E7" w:rsidR="00F86344" w:rsidP="002E21E7" w:rsidRDefault="00F86344" w14:paraId="23235E53" w14:textId="4913AD53">
      <w:pPr>
        <w:pStyle w:val="ListParagraph"/>
        <w:numPr>
          <w:ilvl w:val="0"/>
          <w:numId w:val="23"/>
        </w:numPr>
        <w:rPr>
          <w:rFonts w:asciiTheme="minorHAnsi" w:hAnsiTheme="minorHAnsi" w:cstheme="minorHAnsi"/>
        </w:rPr>
      </w:pPr>
      <w:r>
        <w:rPr>
          <w:rFonts w:asciiTheme="minorHAnsi" w:hAnsiTheme="minorHAnsi" w:cstheme="minorHAnsi"/>
        </w:rPr>
        <w:t xml:space="preserve">Jackson RL, Double CR, Munro HJ, et al. Breast cancer diagnostic efficacy in a developing south-East Asian country. </w:t>
      </w:r>
      <w:r>
        <w:rPr>
          <w:rFonts w:asciiTheme="minorHAnsi" w:hAnsiTheme="minorHAnsi" w:cstheme="minorHAnsi"/>
          <w:i/>
          <w:iCs/>
        </w:rPr>
        <w:t>Asian Pacific Journal of Cancer Prevention</w:t>
      </w:r>
      <w:r>
        <w:rPr>
          <w:rFonts w:asciiTheme="minorHAnsi" w:hAnsiTheme="minorHAnsi" w:cstheme="minorHAnsi"/>
        </w:rPr>
        <w:t xml:space="preserve">. 2019;20(3):727-731. doi:10.31557/apjcp.2019.20.3.727 </w:t>
      </w:r>
    </w:p>
    <w:p w:rsidR="00F86344" w:rsidP="00F86344" w:rsidRDefault="00F86344" w14:paraId="56473945" w14:textId="77777777">
      <w:pPr>
        <w:rPr>
          <w:rFonts w:asciiTheme="minorHAnsi" w:hAnsiTheme="minorHAnsi" w:cstheme="minorHAnsi"/>
        </w:rPr>
      </w:pPr>
    </w:p>
    <w:p w:rsidRPr="002E21E7" w:rsidR="00F86344" w:rsidP="002E21E7" w:rsidRDefault="00F86344" w14:paraId="7E4ECA42" w14:textId="6CBC541B">
      <w:pPr>
        <w:pStyle w:val="ListParagraph"/>
        <w:numPr>
          <w:ilvl w:val="0"/>
          <w:numId w:val="23"/>
        </w:numPr>
        <w:rPr>
          <w:rFonts w:asciiTheme="minorHAnsi" w:hAnsiTheme="minorHAnsi" w:cstheme="minorHAnsi"/>
        </w:rPr>
      </w:pPr>
      <w:r>
        <w:rPr>
          <w:rFonts w:asciiTheme="minorHAnsi" w:hAnsiTheme="minorHAnsi" w:cstheme="minorHAnsi"/>
        </w:rPr>
        <w:t xml:space="preserve">Bellini C, Nori Cucchiari J, Di Naro F, et al. Breast lesions of uncertain malignant potential (B3) and the risk of breast cancer development: A long-term follow-up study. </w:t>
      </w:r>
      <w:r>
        <w:rPr>
          <w:rFonts w:asciiTheme="minorHAnsi" w:hAnsiTheme="minorHAnsi" w:cstheme="minorHAnsi"/>
          <w:i/>
          <w:iCs/>
        </w:rPr>
        <w:t>Cancers</w:t>
      </w:r>
      <w:r>
        <w:rPr>
          <w:rFonts w:asciiTheme="minorHAnsi" w:hAnsiTheme="minorHAnsi" w:cstheme="minorHAnsi"/>
        </w:rPr>
        <w:t xml:space="preserve">. 2023;15(13):3521. doi:10.3390/cancers15133521 </w:t>
      </w:r>
    </w:p>
    <w:p w:rsidR="00F86344" w:rsidP="00F86344" w:rsidRDefault="00F86344" w14:paraId="40ADE512" w14:textId="77777777">
      <w:pPr>
        <w:rPr>
          <w:rFonts w:asciiTheme="minorHAnsi" w:hAnsiTheme="minorHAnsi" w:cstheme="minorHAnsi"/>
        </w:rPr>
      </w:pPr>
    </w:p>
    <w:p w:rsidRPr="002E21E7" w:rsidR="00F86344" w:rsidP="002E21E7" w:rsidRDefault="00F86344" w14:paraId="06F4CD6B" w14:textId="778E3D64">
      <w:pPr>
        <w:pStyle w:val="ListParagraph"/>
        <w:numPr>
          <w:ilvl w:val="0"/>
          <w:numId w:val="23"/>
        </w:numPr>
        <w:rPr>
          <w:rFonts w:asciiTheme="minorHAnsi" w:hAnsiTheme="minorHAnsi" w:cstheme="minorHAnsi"/>
        </w:rPr>
      </w:pPr>
      <w:r>
        <w:rPr>
          <w:rFonts w:asciiTheme="minorHAnsi" w:hAnsiTheme="minorHAnsi" w:cstheme="minorHAnsi"/>
        </w:rPr>
        <w:t xml:space="preserve">D’Archi S, Carnassale B, Sanchez AM, et al. Navigating the uncertainty of B3 breast lesions: Diagnostic challenges and Evolving Management Strategies. </w:t>
      </w:r>
      <w:r>
        <w:rPr>
          <w:rFonts w:asciiTheme="minorHAnsi" w:hAnsiTheme="minorHAnsi" w:cstheme="minorHAnsi"/>
          <w:i/>
          <w:iCs/>
        </w:rPr>
        <w:t>Journal of Personalized Medicine</w:t>
      </w:r>
      <w:r>
        <w:rPr>
          <w:rFonts w:asciiTheme="minorHAnsi" w:hAnsiTheme="minorHAnsi" w:cstheme="minorHAnsi"/>
        </w:rPr>
        <w:t xml:space="preserve">. 2025;15(1):36. doi:10.3390/jpm15010036 </w:t>
      </w:r>
    </w:p>
    <w:p w:rsidR="00F86344" w:rsidP="00F86344" w:rsidRDefault="00F86344" w14:paraId="598F596B" w14:textId="77777777">
      <w:pPr>
        <w:rPr>
          <w:rFonts w:asciiTheme="minorHAnsi" w:hAnsiTheme="minorHAnsi" w:cstheme="minorHAnsi"/>
        </w:rPr>
      </w:pPr>
    </w:p>
    <w:p w:rsidRPr="002E21E7" w:rsidR="00F53B54" w:rsidP="002E21E7" w:rsidRDefault="00F53B54" w14:paraId="395550EA" w14:textId="38EE35BE">
      <w:pPr>
        <w:pStyle w:val="ListParagraph"/>
        <w:numPr>
          <w:ilvl w:val="0"/>
          <w:numId w:val="23"/>
        </w:numPr>
        <w:rPr>
          <w:rFonts w:asciiTheme="minorHAnsi" w:hAnsiTheme="minorHAnsi" w:cstheme="minorHAnsi"/>
        </w:rPr>
      </w:pPr>
      <w:r>
        <w:rPr>
          <w:rFonts w:asciiTheme="minorHAnsi" w:hAnsiTheme="minorHAnsi" w:cstheme="minorHAnsi"/>
        </w:rPr>
        <w:t xml:space="preserve">Catanzariti F, Avendano D, Cicero G, et al. High-risk lesions of the breast: Concurrent diagnostic tools and management recommendations. </w:t>
      </w:r>
      <w:r>
        <w:rPr>
          <w:rFonts w:asciiTheme="minorHAnsi" w:hAnsiTheme="minorHAnsi" w:cstheme="minorHAnsi"/>
          <w:i/>
          <w:iCs/>
        </w:rPr>
        <w:t>Insights into Imaging</w:t>
      </w:r>
      <w:r>
        <w:rPr>
          <w:rFonts w:asciiTheme="minorHAnsi" w:hAnsiTheme="minorHAnsi" w:cstheme="minorHAnsi"/>
        </w:rPr>
        <w:t xml:space="preserve">. 2021;12(1). doi:10.1186/s13244-021-01005-6 </w:t>
      </w:r>
    </w:p>
    <w:p w:rsidR="002E21E7" w:rsidP="00F53B54" w:rsidRDefault="002E21E7" w14:paraId="03603FAA" w14:textId="77777777">
      <w:pPr>
        <w:rPr>
          <w:rFonts w:asciiTheme="minorHAnsi" w:hAnsiTheme="minorHAnsi" w:cstheme="minorHAnsi"/>
        </w:rPr>
      </w:pPr>
    </w:p>
    <w:p w:rsidRPr="002E21E7" w:rsidR="00F53B54" w:rsidP="002E21E7" w:rsidRDefault="00F53B54" w14:paraId="7739D42D" w14:textId="2CC7939B">
      <w:pPr>
        <w:pStyle w:val="ListParagraph"/>
        <w:numPr>
          <w:ilvl w:val="0"/>
          <w:numId w:val="23"/>
        </w:numPr>
        <w:rPr>
          <w:rFonts w:asciiTheme="minorHAnsi" w:hAnsiTheme="minorHAnsi" w:cstheme="minorHAnsi"/>
        </w:rPr>
      </w:pPr>
      <w:r>
        <w:rPr>
          <w:rFonts w:asciiTheme="minorHAnsi" w:hAnsiTheme="minorHAnsi" w:cstheme="minorHAnsi"/>
        </w:rPr>
        <w:t xml:space="preserve">Versaggi SL, De Leucio A. Stereotactic and needle breast biopsy. In: </w:t>
      </w:r>
      <w:r>
        <w:rPr>
          <w:rFonts w:asciiTheme="minorHAnsi" w:hAnsiTheme="minorHAnsi" w:cstheme="minorHAnsi"/>
          <w:i/>
          <w:iCs/>
        </w:rPr>
        <w:t>StatPearls</w:t>
      </w:r>
      <w:r>
        <w:rPr>
          <w:rFonts w:asciiTheme="minorHAnsi" w:hAnsiTheme="minorHAnsi" w:cstheme="minorHAnsi"/>
        </w:rPr>
        <w:t xml:space="preserve">. Treasure Island (FL): StatPearls Publishing; 2025. Available from: https://www.ncbi.nlm.nih.gov/books/NBK559147/.</w:t>
      </w:r>
    </w:p>
    <w:p w:rsidR="00F53B54" w:rsidP="00F86344" w:rsidRDefault="00F53B54" w14:paraId="7B2095A5" w14:textId="77777777">
      <w:pPr>
        <w:rPr>
          <w:rFonts w:asciiTheme="minorHAnsi" w:hAnsiTheme="minorHAnsi" w:cstheme="minorHAnsi"/>
        </w:rPr>
      </w:pPr>
    </w:p>
    <w:p w:rsidRPr="002E21E7" w:rsidR="00F53B54" w:rsidP="002E21E7" w:rsidRDefault="00F53B54" w14:paraId="1FB4559B" w14:textId="44352228">
      <w:pPr>
        <w:pStyle w:val="ListParagraph"/>
        <w:numPr>
          <w:ilvl w:val="0"/>
          <w:numId w:val="23"/>
        </w:numPr>
        <w:rPr>
          <w:rFonts w:asciiTheme="minorHAnsi" w:hAnsiTheme="minorHAnsi" w:cstheme="minorHAnsi"/>
        </w:rPr>
      </w:pPr>
      <w:r>
        <w:rPr>
          <w:rFonts w:asciiTheme="minorHAnsi" w:hAnsiTheme="minorHAnsi" w:cstheme="minorHAnsi"/>
        </w:rPr>
        <w:t xml:space="preserve">Bick U, Trimboli RM, Athanasiou A, et al. Image-guided breast biopsy and localisation: Recommendations for information to women and referring physicians by the European Society of Breast Imaging. </w:t>
      </w:r>
      <w:r>
        <w:rPr>
          <w:rFonts w:asciiTheme="minorHAnsi" w:hAnsiTheme="minorHAnsi" w:cstheme="minorHAnsi"/>
          <w:i/>
          <w:iCs/>
        </w:rPr>
        <w:t>Insights into Imaging</w:t>
      </w:r>
      <w:r>
        <w:rPr>
          <w:rFonts w:asciiTheme="minorHAnsi" w:hAnsiTheme="minorHAnsi" w:cstheme="minorHAnsi"/>
        </w:rPr>
        <w:t xml:space="preserve">. 2020;11(1). doi:10.1186/s13244-019-0803-x </w:t>
      </w:r>
    </w:p>
    <w:p w:rsidR="00F53B54" w:rsidP="00F86344" w:rsidRDefault="00F53B54" w14:paraId="059345FD" w14:textId="77777777">
      <w:pPr>
        <w:rPr>
          <w:rFonts w:asciiTheme="minorHAnsi" w:hAnsiTheme="minorHAnsi" w:cstheme="minorHAnsi"/>
        </w:rPr>
      </w:pPr>
    </w:p>
    <w:p w:rsidRPr="002E21E7" w:rsidR="00F53B54" w:rsidP="002E21E7" w:rsidRDefault="00F53B54" w14:paraId="3718FC40" w14:textId="3F9A7E84">
      <w:pPr>
        <w:pStyle w:val="ListParagraph"/>
        <w:numPr>
          <w:ilvl w:val="0"/>
          <w:numId w:val="23"/>
        </w:numPr>
        <w:rPr>
          <w:rFonts w:asciiTheme="minorHAnsi" w:hAnsiTheme="minorHAnsi" w:cstheme="minorHAnsi"/>
        </w:rPr>
      </w:pPr>
      <w:r>
        <w:rPr>
          <w:rFonts w:asciiTheme="minorHAnsi" w:hAnsiTheme="minorHAnsi" w:cstheme="minorHAnsi"/>
        </w:rPr>
        <w:t xml:space="preserve">Alshafeiy TI, Matich A, Rochman CM, Harvey JA. Advantages and challenges of using breast biopsy markers. </w:t>
      </w:r>
      <w:r>
        <w:rPr>
          <w:rFonts w:asciiTheme="minorHAnsi" w:hAnsiTheme="minorHAnsi" w:cstheme="minorHAnsi"/>
          <w:i/>
          <w:iCs/>
        </w:rPr>
        <w:t>Journal of Breast Imaging</w:t>
      </w:r>
      <w:r>
        <w:rPr>
          <w:rFonts w:asciiTheme="minorHAnsi" w:hAnsiTheme="minorHAnsi" w:cstheme="minorHAnsi"/>
        </w:rPr>
        <w:t xml:space="preserve">. 2021;4(1):78-95. doi:10.1093/jbi/wbab052 </w:t>
      </w:r>
    </w:p>
    <w:p w:rsidR="0098347B" w:rsidRDefault="0098347B" w14:paraId="7ED27B9C" w14:textId="77777777"/>
    <w:sectPr w:rsidR="00D37720" w:rsidSect="00E00A1A">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B5EBA"/>
    <w:multiLevelType w:val="multilevel"/>
    <w:tmpl w:val="9A88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84D28"/>
    <w:multiLevelType w:val="multilevel"/>
    <w:tmpl w:val="C7C45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numFmt w:val="bullet"/>
      <w:lvlText w:val="-"/>
      <w:lvlJc w:val="left"/>
      <w:pPr>
        <w:ind w:left="2160" w:hanging="360"/>
      </w:pPr>
      <w:rPr>
        <w:rFonts w:hint="default" w:ascii="Times New Roman" w:hAnsi="Times New Roman" w:eastAsia="Times New Roman" w:cs="Times New Roman"/>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E3E1C"/>
    <w:multiLevelType w:val="multilevel"/>
    <w:tmpl w:val="0C2AF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E7124D"/>
    <w:multiLevelType w:val="multilevel"/>
    <w:tmpl w:val="718A52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4007A9B"/>
    <w:multiLevelType w:val="multilevel"/>
    <w:tmpl w:val="D9949D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CAD42AF"/>
    <w:multiLevelType w:val="hybridMultilevel"/>
    <w:tmpl w:val="C8C02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921B3"/>
    <w:multiLevelType w:val="hybridMultilevel"/>
    <w:tmpl w:val="F09C5B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6873987"/>
    <w:multiLevelType w:val="multilevel"/>
    <w:tmpl w:val="682491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4056341"/>
    <w:multiLevelType w:val="multilevel"/>
    <w:tmpl w:val="FA02C2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4BE1045"/>
    <w:multiLevelType w:val="multilevel"/>
    <w:tmpl w:val="8EB2B7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A0F22E7"/>
    <w:multiLevelType w:val="hybridMultilevel"/>
    <w:tmpl w:val="ADD0B74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ACD19EB"/>
    <w:multiLevelType w:val="multilevel"/>
    <w:tmpl w:val="151C4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B6C6908"/>
    <w:multiLevelType w:val="hybridMultilevel"/>
    <w:tmpl w:val="DBB2B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E30FD6"/>
    <w:multiLevelType w:val="multilevel"/>
    <w:tmpl w:val="501A8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1243978"/>
    <w:multiLevelType w:val="multilevel"/>
    <w:tmpl w:val="EF44B9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7FD672B"/>
    <w:multiLevelType w:val="multilevel"/>
    <w:tmpl w:val="6672BC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00102B0"/>
    <w:multiLevelType w:val="hybridMultilevel"/>
    <w:tmpl w:val="92DC8D6C"/>
    <w:lvl w:ilvl="0" w:tplc="04090001">
      <w:start w:val="1"/>
      <w:numFmt w:val="bullet"/>
      <w:lvlText w:val=""/>
      <w:lvlJc w:val="left"/>
      <w:pPr>
        <w:ind w:left="2520" w:hanging="360"/>
      </w:pPr>
      <w:rPr>
        <w:rFonts w:hint="default" w:ascii="Symbol" w:hAnsi="Symbol"/>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17" w15:restartNumberingAfterBreak="0">
    <w:nsid w:val="51B71AE6"/>
    <w:multiLevelType w:val="multilevel"/>
    <w:tmpl w:val="552849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E17C58"/>
    <w:multiLevelType w:val="multilevel"/>
    <w:tmpl w:val="3586D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AC3388"/>
    <w:multiLevelType w:val="multilevel"/>
    <w:tmpl w:val="5816D2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F5463FE"/>
    <w:multiLevelType w:val="hybridMultilevel"/>
    <w:tmpl w:val="983263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A4F711B"/>
    <w:multiLevelType w:val="hybridMultilevel"/>
    <w:tmpl w:val="D7AA4B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DD23BDF"/>
    <w:multiLevelType w:val="multilevel"/>
    <w:tmpl w:val="4A8A11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8845810">
    <w:abstractNumId w:val="10"/>
  </w:num>
  <w:num w:numId="2" w16cid:durableId="697630893">
    <w:abstractNumId w:val="0"/>
  </w:num>
  <w:num w:numId="3" w16cid:durableId="919564789">
    <w:abstractNumId w:val="2"/>
  </w:num>
  <w:num w:numId="4" w16cid:durableId="1021933213">
    <w:abstractNumId w:val="18"/>
  </w:num>
  <w:num w:numId="5" w16cid:durableId="1849637350">
    <w:abstractNumId w:val="6"/>
  </w:num>
  <w:num w:numId="6" w16cid:durableId="2013603624">
    <w:abstractNumId w:val="20"/>
  </w:num>
  <w:num w:numId="7" w16cid:durableId="873889508">
    <w:abstractNumId w:val="19"/>
  </w:num>
  <w:num w:numId="8" w16cid:durableId="1806314289">
    <w:abstractNumId w:val="13"/>
  </w:num>
  <w:num w:numId="9" w16cid:durableId="1903515251">
    <w:abstractNumId w:val="15"/>
  </w:num>
  <w:num w:numId="10" w16cid:durableId="801078092">
    <w:abstractNumId w:val="14"/>
  </w:num>
  <w:num w:numId="11" w16cid:durableId="58408475">
    <w:abstractNumId w:val="3"/>
  </w:num>
  <w:num w:numId="12" w16cid:durableId="744912845">
    <w:abstractNumId w:val="4"/>
  </w:num>
  <w:num w:numId="13" w16cid:durableId="1248612385">
    <w:abstractNumId w:val="9"/>
  </w:num>
  <w:num w:numId="14" w16cid:durableId="1842163430">
    <w:abstractNumId w:val="11"/>
  </w:num>
  <w:num w:numId="15" w16cid:durableId="155540876">
    <w:abstractNumId w:val="8"/>
  </w:num>
  <w:num w:numId="16" w16cid:durableId="1132481601">
    <w:abstractNumId w:val="1"/>
  </w:num>
  <w:num w:numId="17" w16cid:durableId="1006517489">
    <w:abstractNumId w:val="7"/>
  </w:num>
  <w:num w:numId="18" w16cid:durableId="1052343836">
    <w:abstractNumId w:val="22"/>
  </w:num>
  <w:num w:numId="19" w16cid:durableId="1837838003">
    <w:abstractNumId w:val="17"/>
  </w:num>
  <w:num w:numId="20" w16cid:durableId="2003510109">
    <w:abstractNumId w:val="12"/>
  </w:num>
  <w:num w:numId="21" w16cid:durableId="1119106547">
    <w:abstractNumId w:val="21"/>
  </w:num>
  <w:num w:numId="22" w16cid:durableId="335622258">
    <w:abstractNumId w:val="16"/>
  </w:num>
  <w:num w:numId="23" w16cid:durableId="158047878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9"/>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9C7"/>
    <w:rsid w:val="00013462"/>
    <w:rsid w:val="00014CBB"/>
    <w:rsid w:val="00020E24"/>
    <w:rsid w:val="000367EC"/>
    <w:rsid w:val="000A258D"/>
    <w:rsid w:val="000A291A"/>
    <w:rsid w:val="000A3CAC"/>
    <w:rsid w:val="000B0CF2"/>
    <w:rsid w:val="000D143B"/>
    <w:rsid w:val="000E22AE"/>
    <w:rsid w:val="000F3337"/>
    <w:rsid w:val="001025B2"/>
    <w:rsid w:val="00144D30"/>
    <w:rsid w:val="00160D06"/>
    <w:rsid w:val="0016280B"/>
    <w:rsid w:val="00174E99"/>
    <w:rsid w:val="00176388"/>
    <w:rsid w:val="00194DEE"/>
    <w:rsid w:val="001A35B8"/>
    <w:rsid w:val="001B0FAF"/>
    <w:rsid w:val="001D56E1"/>
    <w:rsid w:val="00205F25"/>
    <w:rsid w:val="002320DB"/>
    <w:rsid w:val="002408BC"/>
    <w:rsid w:val="0025156D"/>
    <w:rsid w:val="00274B49"/>
    <w:rsid w:val="002A332E"/>
    <w:rsid w:val="002A3A37"/>
    <w:rsid w:val="002C16BB"/>
    <w:rsid w:val="002C1DB7"/>
    <w:rsid w:val="002C4332"/>
    <w:rsid w:val="002D37BD"/>
    <w:rsid w:val="002E1B6D"/>
    <w:rsid w:val="002E21E7"/>
    <w:rsid w:val="002F600B"/>
    <w:rsid w:val="00354C98"/>
    <w:rsid w:val="00355E2D"/>
    <w:rsid w:val="00357E55"/>
    <w:rsid w:val="004425F1"/>
    <w:rsid w:val="004507A1"/>
    <w:rsid w:val="00452C06"/>
    <w:rsid w:val="004620F4"/>
    <w:rsid w:val="00485546"/>
    <w:rsid w:val="0048561A"/>
    <w:rsid w:val="00496C34"/>
    <w:rsid w:val="004B2164"/>
    <w:rsid w:val="00506193"/>
    <w:rsid w:val="0052307F"/>
    <w:rsid w:val="00544677"/>
    <w:rsid w:val="005464A0"/>
    <w:rsid w:val="00551258"/>
    <w:rsid w:val="005611CB"/>
    <w:rsid w:val="005D0803"/>
    <w:rsid w:val="005E633A"/>
    <w:rsid w:val="005F157C"/>
    <w:rsid w:val="0062022B"/>
    <w:rsid w:val="00625555"/>
    <w:rsid w:val="00640CB9"/>
    <w:rsid w:val="006537D1"/>
    <w:rsid w:val="006749DA"/>
    <w:rsid w:val="0068183C"/>
    <w:rsid w:val="0068631C"/>
    <w:rsid w:val="006B3666"/>
    <w:rsid w:val="006C11AE"/>
    <w:rsid w:val="006D4CBC"/>
    <w:rsid w:val="00707443"/>
    <w:rsid w:val="007161B2"/>
    <w:rsid w:val="007177B8"/>
    <w:rsid w:val="00726C05"/>
    <w:rsid w:val="007361CF"/>
    <w:rsid w:val="00751689"/>
    <w:rsid w:val="007A037D"/>
    <w:rsid w:val="007A5005"/>
    <w:rsid w:val="007C1B43"/>
    <w:rsid w:val="00806643"/>
    <w:rsid w:val="00830327"/>
    <w:rsid w:val="00841AC6"/>
    <w:rsid w:val="008549F8"/>
    <w:rsid w:val="00866944"/>
    <w:rsid w:val="008879BE"/>
    <w:rsid w:val="008B2FC1"/>
    <w:rsid w:val="008C227B"/>
    <w:rsid w:val="008D2BAD"/>
    <w:rsid w:val="009043EB"/>
    <w:rsid w:val="00911F2F"/>
    <w:rsid w:val="00914AFB"/>
    <w:rsid w:val="0092628B"/>
    <w:rsid w:val="0093161A"/>
    <w:rsid w:val="00965E07"/>
    <w:rsid w:val="009815A3"/>
    <w:rsid w:val="0098347B"/>
    <w:rsid w:val="00996C48"/>
    <w:rsid w:val="009B2AE6"/>
    <w:rsid w:val="009D5C3B"/>
    <w:rsid w:val="00A0391C"/>
    <w:rsid w:val="00A1564F"/>
    <w:rsid w:val="00A478F6"/>
    <w:rsid w:val="00A536B0"/>
    <w:rsid w:val="00AA1B47"/>
    <w:rsid w:val="00AB40D3"/>
    <w:rsid w:val="00AB50AB"/>
    <w:rsid w:val="00AE1B56"/>
    <w:rsid w:val="00AE7982"/>
    <w:rsid w:val="00AE7988"/>
    <w:rsid w:val="00AF78FF"/>
    <w:rsid w:val="00B01F06"/>
    <w:rsid w:val="00B047E6"/>
    <w:rsid w:val="00B05D13"/>
    <w:rsid w:val="00B103D2"/>
    <w:rsid w:val="00B16DF7"/>
    <w:rsid w:val="00B575F8"/>
    <w:rsid w:val="00B66BF1"/>
    <w:rsid w:val="00B814A9"/>
    <w:rsid w:val="00B94867"/>
    <w:rsid w:val="00BD536F"/>
    <w:rsid w:val="00BE0924"/>
    <w:rsid w:val="00C22ADB"/>
    <w:rsid w:val="00C34EEB"/>
    <w:rsid w:val="00C37E19"/>
    <w:rsid w:val="00C756D8"/>
    <w:rsid w:val="00C92F77"/>
    <w:rsid w:val="00CF5645"/>
    <w:rsid w:val="00CF60DE"/>
    <w:rsid w:val="00D029C7"/>
    <w:rsid w:val="00D1409E"/>
    <w:rsid w:val="00D2740F"/>
    <w:rsid w:val="00D37720"/>
    <w:rsid w:val="00D4116D"/>
    <w:rsid w:val="00D51E44"/>
    <w:rsid w:val="00D602F1"/>
    <w:rsid w:val="00D64F31"/>
    <w:rsid w:val="00D65CD6"/>
    <w:rsid w:val="00D850DA"/>
    <w:rsid w:val="00D86345"/>
    <w:rsid w:val="00DB045C"/>
    <w:rsid w:val="00DC217B"/>
    <w:rsid w:val="00DC2C35"/>
    <w:rsid w:val="00DD7873"/>
    <w:rsid w:val="00DE6158"/>
    <w:rsid w:val="00E00A1A"/>
    <w:rsid w:val="00E028A9"/>
    <w:rsid w:val="00E2516B"/>
    <w:rsid w:val="00E31634"/>
    <w:rsid w:val="00E37500"/>
    <w:rsid w:val="00E43C29"/>
    <w:rsid w:val="00E905FD"/>
    <w:rsid w:val="00EA0F64"/>
    <w:rsid w:val="00EA6940"/>
    <w:rsid w:val="00EC738A"/>
    <w:rsid w:val="00ED2FA4"/>
    <w:rsid w:val="00F075F0"/>
    <w:rsid w:val="00F12ED9"/>
    <w:rsid w:val="00F324A8"/>
    <w:rsid w:val="00F350D2"/>
    <w:rsid w:val="00F50E36"/>
    <w:rsid w:val="00F53B54"/>
    <w:rsid w:val="00F61B18"/>
    <w:rsid w:val="00F73695"/>
    <w:rsid w:val="00F8621C"/>
    <w:rsid w:val="00F86344"/>
    <w:rsid w:val="00F86457"/>
    <w:rsid w:val="00F9741E"/>
    <w:rsid w:val="00FC3FAC"/>
    <w:rsid w:val="00FE5087"/>
    <w:rsid w:val="05BCE788"/>
    <w:rsid w:val="3F0DCF76"/>
    <w:rsid w:val="5345A667"/>
    <w:rsid w:val="6163F0E6"/>
    <w:rsid w:val="757DB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EE06D"/>
  <w14:defaultImageDpi w14:val="32767"/>
  <w15:chartTrackingRefBased/>
  <w15:docId w15:val="{493EDCC8-ECFC-A045-9503-8FB77434F3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965E07"/>
    <w:rPr>
      <w:rFonts w:ascii="Times New Roman" w:hAnsi="Times New Roman" w:eastAsia="Times New Roman" w:cs="Times New Roman"/>
      <w:lang w:val="en-CA"/>
    </w:rPr>
  </w:style>
  <w:style w:type="paragraph" w:styleId="Heading1">
    <w:name w:val="heading 1"/>
    <w:basedOn w:val="Normal"/>
    <w:next w:val="Normal"/>
    <w:link w:val="Heading1Char"/>
    <w:uiPriority w:val="9"/>
    <w:qFormat/>
    <w:rsid w:val="00E31634"/>
    <w:pPr>
      <w:keepNext/>
      <w:keepLines/>
      <w:spacing w:before="480" w:line="276" w:lineRule="auto"/>
      <w:outlineLvl w:val="0"/>
    </w:pPr>
    <w:rPr>
      <w:rFonts w:asciiTheme="majorHAnsi" w:hAnsiTheme="majorHAnsi" w:eastAsiaTheme="majorEastAsia" w:cstheme="majorBidi"/>
      <w:b/>
      <w:bCs/>
      <w:color w:val="2F5496" w:themeColor="accent1" w:themeShade="BF"/>
      <w:sz w:val="28"/>
      <w:szCs w:val="28"/>
      <w:lang w:val="en-US" w:eastAsia="en-US" w:bidi="en-US"/>
    </w:rPr>
  </w:style>
  <w:style w:type="paragraph" w:styleId="Heading3">
    <w:name w:val="heading 3"/>
    <w:basedOn w:val="Normal"/>
    <w:next w:val="Normal"/>
    <w:link w:val="Heading3Char"/>
    <w:uiPriority w:val="9"/>
    <w:semiHidden/>
    <w:unhideWhenUsed/>
    <w:qFormat/>
    <w:rsid w:val="00D37720"/>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link w:val="Heading4Char"/>
    <w:uiPriority w:val="9"/>
    <w:qFormat/>
    <w:rsid w:val="00D029C7"/>
    <w:pPr>
      <w:spacing w:before="100" w:beforeAutospacing="1" w:after="100" w:afterAutospacing="1"/>
      <w:outlineLvl w:val="3"/>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
    <w:rsid w:val="00D029C7"/>
    <w:rPr>
      <w:rFonts w:ascii="Times New Roman" w:hAnsi="Times New Roman" w:eastAsia="Times New Roman" w:cs="Times New Roman"/>
      <w:b/>
      <w:bCs/>
      <w:lang w:val="en-CA"/>
    </w:rPr>
  </w:style>
  <w:style w:type="character" w:styleId="Hyperlink">
    <w:name w:val="Hyperlink"/>
    <w:basedOn w:val="DefaultParagraphFont"/>
    <w:uiPriority w:val="99"/>
    <w:unhideWhenUsed/>
    <w:rsid w:val="00D029C7"/>
    <w:rPr>
      <w:color w:val="0563C1" w:themeColor="hyperlink"/>
      <w:u w:val="single"/>
    </w:rPr>
  </w:style>
  <w:style w:type="character" w:styleId="h3" w:customStyle="1">
    <w:name w:val="h3"/>
    <w:basedOn w:val="DefaultParagraphFont"/>
    <w:rsid w:val="00D029C7"/>
  </w:style>
  <w:style w:type="character" w:styleId="headingendmark" w:customStyle="1">
    <w:name w:val="headingendmark"/>
    <w:basedOn w:val="DefaultParagraphFont"/>
    <w:rsid w:val="00D029C7"/>
  </w:style>
  <w:style w:type="paragraph" w:styleId="p" w:customStyle="1">
    <w:name w:val="p"/>
    <w:basedOn w:val="Normal"/>
    <w:rsid w:val="00D029C7"/>
    <w:pPr>
      <w:spacing w:before="100" w:beforeAutospacing="1" w:after="100" w:afterAutospacing="1"/>
    </w:pPr>
  </w:style>
  <w:style w:type="paragraph" w:styleId="Bibliography">
    <w:name w:val="Bibliography"/>
    <w:basedOn w:val="Normal"/>
    <w:next w:val="Normal"/>
    <w:uiPriority w:val="37"/>
    <w:unhideWhenUsed/>
    <w:rsid w:val="00D029C7"/>
    <w:pPr>
      <w:tabs>
        <w:tab w:val="left" w:pos="260"/>
        <w:tab w:val="left" w:pos="380"/>
      </w:tabs>
      <w:spacing w:after="240"/>
      <w:ind w:left="384" w:hanging="384"/>
    </w:pPr>
  </w:style>
  <w:style w:type="character" w:styleId="FollowedHyperlink">
    <w:name w:val="FollowedHyperlink"/>
    <w:basedOn w:val="DefaultParagraphFont"/>
    <w:uiPriority w:val="99"/>
    <w:semiHidden/>
    <w:unhideWhenUsed/>
    <w:rsid w:val="00D029C7"/>
    <w:rPr>
      <w:color w:val="954F72" w:themeColor="followedHyperlink"/>
      <w:u w:val="single"/>
    </w:rPr>
  </w:style>
  <w:style w:type="paragraph" w:styleId="NormalWeb">
    <w:name w:val="Normal (Web)"/>
    <w:basedOn w:val="Normal"/>
    <w:uiPriority w:val="99"/>
    <w:unhideWhenUsed/>
    <w:rsid w:val="001A35B8"/>
    <w:pPr>
      <w:spacing w:before="100" w:beforeAutospacing="1" w:after="100" w:afterAutospacing="1"/>
    </w:pPr>
  </w:style>
  <w:style w:type="character" w:styleId="Strong">
    <w:name w:val="Strong"/>
    <w:basedOn w:val="DefaultParagraphFont"/>
    <w:uiPriority w:val="22"/>
    <w:qFormat/>
    <w:rsid w:val="00BE0924"/>
    <w:rPr>
      <w:b/>
      <w:bCs/>
    </w:rPr>
  </w:style>
  <w:style w:type="character" w:styleId="UnresolvedMention">
    <w:name w:val="Unresolved Mention"/>
    <w:basedOn w:val="DefaultParagraphFont"/>
    <w:uiPriority w:val="99"/>
    <w:rsid w:val="006537D1"/>
    <w:rPr>
      <w:color w:val="605E5C"/>
      <w:shd w:val="clear" w:color="auto" w:fill="E1DFDD"/>
    </w:rPr>
  </w:style>
  <w:style w:type="paragraph" w:styleId="headinganchor" w:customStyle="1">
    <w:name w:val="headinganchor"/>
    <w:basedOn w:val="Normal"/>
    <w:rsid w:val="008D2BAD"/>
    <w:pPr>
      <w:spacing w:before="100" w:beforeAutospacing="1" w:after="100" w:afterAutospacing="1"/>
    </w:pPr>
  </w:style>
  <w:style w:type="character" w:styleId="h4" w:customStyle="1">
    <w:name w:val="h4"/>
    <w:basedOn w:val="DefaultParagraphFont"/>
    <w:rsid w:val="008D2BAD"/>
  </w:style>
  <w:style w:type="paragraph" w:styleId="bulletindent1" w:customStyle="1">
    <w:name w:val="bulletindent1"/>
    <w:basedOn w:val="Normal"/>
    <w:rsid w:val="00E37500"/>
    <w:pPr>
      <w:spacing w:before="100" w:beforeAutospacing="1" w:after="100" w:afterAutospacing="1"/>
    </w:pPr>
  </w:style>
  <w:style w:type="character" w:styleId="glyph" w:customStyle="1">
    <w:name w:val="glyph"/>
    <w:basedOn w:val="DefaultParagraphFont"/>
    <w:rsid w:val="00E37500"/>
  </w:style>
  <w:style w:type="character" w:styleId="Emphasis">
    <w:name w:val="Emphasis"/>
    <w:basedOn w:val="DefaultParagraphFont"/>
    <w:uiPriority w:val="20"/>
    <w:qFormat/>
    <w:rsid w:val="00965E07"/>
    <w:rPr>
      <w:i/>
      <w:iCs/>
    </w:rPr>
  </w:style>
  <w:style w:type="character" w:styleId="Heading1Char" w:customStyle="1">
    <w:name w:val="Heading 1 Char"/>
    <w:basedOn w:val="DefaultParagraphFont"/>
    <w:link w:val="Heading1"/>
    <w:uiPriority w:val="9"/>
    <w:rsid w:val="00E31634"/>
    <w:rPr>
      <w:rFonts w:asciiTheme="majorHAnsi" w:hAnsiTheme="majorHAnsi" w:eastAsiaTheme="majorEastAsia" w:cstheme="majorBidi"/>
      <w:b/>
      <w:bCs/>
      <w:color w:val="2F5496" w:themeColor="accent1" w:themeShade="BF"/>
      <w:sz w:val="28"/>
      <w:szCs w:val="28"/>
      <w:lang w:eastAsia="en-US" w:bidi="en-US"/>
    </w:rPr>
  </w:style>
  <w:style w:type="paragraph" w:styleId="BalloonText">
    <w:name w:val="Balloon Text"/>
    <w:basedOn w:val="Normal"/>
    <w:link w:val="BalloonTextChar"/>
    <w:uiPriority w:val="99"/>
    <w:semiHidden/>
    <w:unhideWhenUsed/>
    <w:rsid w:val="00F73695"/>
    <w:rPr>
      <w:sz w:val="18"/>
      <w:szCs w:val="18"/>
    </w:rPr>
  </w:style>
  <w:style w:type="character" w:styleId="BalloonTextChar" w:customStyle="1">
    <w:name w:val="Balloon Text Char"/>
    <w:basedOn w:val="DefaultParagraphFont"/>
    <w:link w:val="BalloonText"/>
    <w:uiPriority w:val="99"/>
    <w:semiHidden/>
    <w:rsid w:val="00F73695"/>
    <w:rPr>
      <w:rFonts w:ascii="Times New Roman" w:hAnsi="Times New Roman" w:eastAsia="Times New Roman" w:cs="Times New Roman"/>
      <w:sz w:val="18"/>
      <w:szCs w:val="18"/>
      <w:lang w:val="en-CA"/>
    </w:rPr>
  </w:style>
  <w:style w:type="character" w:styleId="CommentReference">
    <w:name w:val="Comment Reference"/>
    <w:basedOn w:val="DefaultParagraphFont"/>
    <w:uiPriority w:val="99"/>
    <w:semiHidden/>
    <w:unhideWhenUsed/>
    <w:rsid w:val="00F73695"/>
    <w:rPr>
      <w:sz w:val="16"/>
      <w:szCs w:val="16"/>
    </w:rPr>
  </w:style>
  <w:style w:type="paragraph" w:styleId="ListParagraph">
    <w:name w:val="List Paragraph"/>
    <w:basedOn w:val="Normal"/>
    <w:uiPriority w:val="34"/>
    <w:qFormat/>
    <w:rsid w:val="000D143B"/>
    <w:pPr>
      <w:ind w:left="720"/>
      <w:contextualSpacing/>
    </w:pPr>
  </w:style>
  <w:style w:type="character" w:styleId="Heading3Char" w:customStyle="1">
    <w:name w:val="Heading 3 Char"/>
    <w:basedOn w:val="DefaultParagraphFont"/>
    <w:link w:val="Heading3"/>
    <w:uiPriority w:val="9"/>
    <w:semiHidden/>
    <w:rsid w:val="00D37720"/>
    <w:rPr>
      <w:rFonts w:asciiTheme="majorHAnsi" w:hAnsiTheme="majorHAnsi" w:eastAsiaTheme="majorEastAsia" w:cstheme="majorBidi"/>
      <w:color w:val="1F3763" w:themeColor="accent1" w:themeShade="7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24439">
      <w:bodyDiv w:val="1"/>
      <w:marLeft w:val="0"/>
      <w:marRight w:val="0"/>
      <w:marTop w:val="0"/>
      <w:marBottom w:val="0"/>
      <w:divBdr>
        <w:top w:val="none" w:sz="0" w:space="0" w:color="auto"/>
        <w:left w:val="none" w:sz="0" w:space="0" w:color="auto"/>
        <w:bottom w:val="none" w:sz="0" w:space="0" w:color="auto"/>
        <w:right w:val="none" w:sz="0" w:space="0" w:color="auto"/>
      </w:divBdr>
    </w:div>
    <w:div w:id="12153563">
      <w:bodyDiv w:val="1"/>
      <w:marLeft w:val="0"/>
      <w:marRight w:val="0"/>
      <w:marTop w:val="0"/>
      <w:marBottom w:val="0"/>
      <w:divBdr>
        <w:top w:val="none" w:sz="0" w:space="0" w:color="auto"/>
        <w:left w:val="none" w:sz="0" w:space="0" w:color="auto"/>
        <w:bottom w:val="none" w:sz="0" w:space="0" w:color="auto"/>
        <w:right w:val="none" w:sz="0" w:space="0" w:color="auto"/>
      </w:divBdr>
    </w:div>
    <w:div w:id="24184823">
      <w:bodyDiv w:val="1"/>
      <w:marLeft w:val="0"/>
      <w:marRight w:val="0"/>
      <w:marTop w:val="0"/>
      <w:marBottom w:val="0"/>
      <w:divBdr>
        <w:top w:val="none" w:sz="0" w:space="0" w:color="auto"/>
        <w:left w:val="none" w:sz="0" w:space="0" w:color="auto"/>
        <w:bottom w:val="none" w:sz="0" w:space="0" w:color="auto"/>
        <w:right w:val="none" w:sz="0" w:space="0" w:color="auto"/>
      </w:divBdr>
    </w:div>
    <w:div w:id="38626541">
      <w:bodyDiv w:val="1"/>
      <w:marLeft w:val="0"/>
      <w:marRight w:val="0"/>
      <w:marTop w:val="0"/>
      <w:marBottom w:val="0"/>
      <w:divBdr>
        <w:top w:val="none" w:sz="0" w:space="0" w:color="auto"/>
        <w:left w:val="none" w:sz="0" w:space="0" w:color="auto"/>
        <w:bottom w:val="none" w:sz="0" w:space="0" w:color="auto"/>
        <w:right w:val="none" w:sz="0" w:space="0" w:color="auto"/>
      </w:divBdr>
    </w:div>
    <w:div w:id="48190287">
      <w:bodyDiv w:val="1"/>
      <w:marLeft w:val="0"/>
      <w:marRight w:val="0"/>
      <w:marTop w:val="0"/>
      <w:marBottom w:val="0"/>
      <w:divBdr>
        <w:top w:val="none" w:sz="0" w:space="0" w:color="auto"/>
        <w:left w:val="none" w:sz="0" w:space="0" w:color="auto"/>
        <w:bottom w:val="none" w:sz="0" w:space="0" w:color="auto"/>
        <w:right w:val="none" w:sz="0" w:space="0" w:color="auto"/>
      </w:divBdr>
    </w:div>
    <w:div w:id="67383027">
      <w:bodyDiv w:val="1"/>
      <w:marLeft w:val="0"/>
      <w:marRight w:val="0"/>
      <w:marTop w:val="0"/>
      <w:marBottom w:val="0"/>
      <w:divBdr>
        <w:top w:val="none" w:sz="0" w:space="0" w:color="auto"/>
        <w:left w:val="none" w:sz="0" w:space="0" w:color="auto"/>
        <w:bottom w:val="none" w:sz="0" w:space="0" w:color="auto"/>
        <w:right w:val="none" w:sz="0" w:space="0" w:color="auto"/>
      </w:divBdr>
    </w:div>
    <w:div w:id="100760205">
      <w:bodyDiv w:val="1"/>
      <w:marLeft w:val="0"/>
      <w:marRight w:val="0"/>
      <w:marTop w:val="0"/>
      <w:marBottom w:val="0"/>
      <w:divBdr>
        <w:top w:val="none" w:sz="0" w:space="0" w:color="auto"/>
        <w:left w:val="none" w:sz="0" w:space="0" w:color="auto"/>
        <w:bottom w:val="none" w:sz="0" w:space="0" w:color="auto"/>
        <w:right w:val="none" w:sz="0" w:space="0" w:color="auto"/>
      </w:divBdr>
      <w:divsChild>
        <w:div w:id="826941215">
          <w:marLeft w:val="0"/>
          <w:marRight w:val="0"/>
          <w:marTop w:val="0"/>
          <w:marBottom w:val="0"/>
          <w:divBdr>
            <w:top w:val="none" w:sz="0" w:space="0" w:color="auto"/>
            <w:left w:val="none" w:sz="0" w:space="0" w:color="auto"/>
            <w:bottom w:val="none" w:sz="0" w:space="0" w:color="auto"/>
            <w:right w:val="none" w:sz="0" w:space="0" w:color="auto"/>
          </w:divBdr>
          <w:divsChild>
            <w:div w:id="81531766">
              <w:marLeft w:val="0"/>
              <w:marRight w:val="0"/>
              <w:marTop w:val="0"/>
              <w:marBottom w:val="0"/>
              <w:divBdr>
                <w:top w:val="none" w:sz="0" w:space="0" w:color="auto"/>
                <w:left w:val="none" w:sz="0" w:space="0" w:color="auto"/>
                <w:bottom w:val="none" w:sz="0" w:space="0" w:color="auto"/>
                <w:right w:val="none" w:sz="0" w:space="0" w:color="auto"/>
              </w:divBdr>
              <w:divsChild>
                <w:div w:id="560099142">
                  <w:marLeft w:val="0"/>
                  <w:marRight w:val="0"/>
                  <w:marTop w:val="0"/>
                  <w:marBottom w:val="0"/>
                  <w:divBdr>
                    <w:top w:val="none" w:sz="0" w:space="0" w:color="auto"/>
                    <w:left w:val="none" w:sz="0" w:space="0" w:color="auto"/>
                    <w:bottom w:val="none" w:sz="0" w:space="0" w:color="auto"/>
                    <w:right w:val="none" w:sz="0" w:space="0" w:color="auto"/>
                  </w:divBdr>
                  <w:divsChild>
                    <w:div w:id="14393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39914">
      <w:bodyDiv w:val="1"/>
      <w:marLeft w:val="0"/>
      <w:marRight w:val="0"/>
      <w:marTop w:val="0"/>
      <w:marBottom w:val="0"/>
      <w:divBdr>
        <w:top w:val="none" w:sz="0" w:space="0" w:color="auto"/>
        <w:left w:val="none" w:sz="0" w:space="0" w:color="auto"/>
        <w:bottom w:val="none" w:sz="0" w:space="0" w:color="auto"/>
        <w:right w:val="none" w:sz="0" w:space="0" w:color="auto"/>
      </w:divBdr>
      <w:divsChild>
        <w:div w:id="1466508988">
          <w:marLeft w:val="0"/>
          <w:marRight w:val="0"/>
          <w:marTop w:val="0"/>
          <w:marBottom w:val="0"/>
          <w:divBdr>
            <w:top w:val="none" w:sz="0" w:space="0" w:color="auto"/>
            <w:left w:val="none" w:sz="0" w:space="0" w:color="auto"/>
            <w:bottom w:val="none" w:sz="0" w:space="0" w:color="auto"/>
            <w:right w:val="none" w:sz="0" w:space="0" w:color="auto"/>
          </w:divBdr>
          <w:divsChild>
            <w:div w:id="167869404">
              <w:marLeft w:val="0"/>
              <w:marRight w:val="0"/>
              <w:marTop w:val="0"/>
              <w:marBottom w:val="0"/>
              <w:divBdr>
                <w:top w:val="none" w:sz="0" w:space="0" w:color="auto"/>
                <w:left w:val="none" w:sz="0" w:space="0" w:color="auto"/>
                <w:bottom w:val="none" w:sz="0" w:space="0" w:color="auto"/>
                <w:right w:val="none" w:sz="0" w:space="0" w:color="auto"/>
              </w:divBdr>
              <w:divsChild>
                <w:div w:id="5314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04627">
      <w:bodyDiv w:val="1"/>
      <w:marLeft w:val="0"/>
      <w:marRight w:val="0"/>
      <w:marTop w:val="0"/>
      <w:marBottom w:val="0"/>
      <w:divBdr>
        <w:top w:val="none" w:sz="0" w:space="0" w:color="auto"/>
        <w:left w:val="none" w:sz="0" w:space="0" w:color="auto"/>
        <w:bottom w:val="none" w:sz="0" w:space="0" w:color="auto"/>
        <w:right w:val="none" w:sz="0" w:space="0" w:color="auto"/>
      </w:divBdr>
    </w:div>
    <w:div w:id="131754550">
      <w:bodyDiv w:val="1"/>
      <w:marLeft w:val="0"/>
      <w:marRight w:val="0"/>
      <w:marTop w:val="0"/>
      <w:marBottom w:val="0"/>
      <w:divBdr>
        <w:top w:val="none" w:sz="0" w:space="0" w:color="auto"/>
        <w:left w:val="none" w:sz="0" w:space="0" w:color="auto"/>
        <w:bottom w:val="none" w:sz="0" w:space="0" w:color="auto"/>
        <w:right w:val="none" w:sz="0" w:space="0" w:color="auto"/>
      </w:divBdr>
    </w:div>
    <w:div w:id="138771652">
      <w:bodyDiv w:val="1"/>
      <w:marLeft w:val="0"/>
      <w:marRight w:val="0"/>
      <w:marTop w:val="0"/>
      <w:marBottom w:val="0"/>
      <w:divBdr>
        <w:top w:val="none" w:sz="0" w:space="0" w:color="auto"/>
        <w:left w:val="none" w:sz="0" w:space="0" w:color="auto"/>
        <w:bottom w:val="none" w:sz="0" w:space="0" w:color="auto"/>
        <w:right w:val="none" w:sz="0" w:space="0" w:color="auto"/>
      </w:divBdr>
    </w:div>
    <w:div w:id="145324650">
      <w:bodyDiv w:val="1"/>
      <w:marLeft w:val="0"/>
      <w:marRight w:val="0"/>
      <w:marTop w:val="0"/>
      <w:marBottom w:val="0"/>
      <w:divBdr>
        <w:top w:val="none" w:sz="0" w:space="0" w:color="auto"/>
        <w:left w:val="none" w:sz="0" w:space="0" w:color="auto"/>
        <w:bottom w:val="none" w:sz="0" w:space="0" w:color="auto"/>
        <w:right w:val="none" w:sz="0" w:space="0" w:color="auto"/>
      </w:divBdr>
    </w:div>
    <w:div w:id="173767243">
      <w:bodyDiv w:val="1"/>
      <w:marLeft w:val="0"/>
      <w:marRight w:val="0"/>
      <w:marTop w:val="0"/>
      <w:marBottom w:val="0"/>
      <w:divBdr>
        <w:top w:val="none" w:sz="0" w:space="0" w:color="auto"/>
        <w:left w:val="none" w:sz="0" w:space="0" w:color="auto"/>
        <w:bottom w:val="none" w:sz="0" w:space="0" w:color="auto"/>
        <w:right w:val="none" w:sz="0" w:space="0" w:color="auto"/>
      </w:divBdr>
    </w:div>
    <w:div w:id="175461094">
      <w:bodyDiv w:val="1"/>
      <w:marLeft w:val="0"/>
      <w:marRight w:val="0"/>
      <w:marTop w:val="0"/>
      <w:marBottom w:val="0"/>
      <w:divBdr>
        <w:top w:val="none" w:sz="0" w:space="0" w:color="auto"/>
        <w:left w:val="none" w:sz="0" w:space="0" w:color="auto"/>
        <w:bottom w:val="none" w:sz="0" w:space="0" w:color="auto"/>
        <w:right w:val="none" w:sz="0" w:space="0" w:color="auto"/>
      </w:divBdr>
    </w:div>
    <w:div w:id="227031571">
      <w:bodyDiv w:val="1"/>
      <w:marLeft w:val="0"/>
      <w:marRight w:val="0"/>
      <w:marTop w:val="0"/>
      <w:marBottom w:val="0"/>
      <w:divBdr>
        <w:top w:val="none" w:sz="0" w:space="0" w:color="auto"/>
        <w:left w:val="none" w:sz="0" w:space="0" w:color="auto"/>
        <w:bottom w:val="none" w:sz="0" w:space="0" w:color="auto"/>
        <w:right w:val="none" w:sz="0" w:space="0" w:color="auto"/>
      </w:divBdr>
    </w:div>
    <w:div w:id="231089356">
      <w:bodyDiv w:val="1"/>
      <w:marLeft w:val="0"/>
      <w:marRight w:val="0"/>
      <w:marTop w:val="0"/>
      <w:marBottom w:val="0"/>
      <w:divBdr>
        <w:top w:val="none" w:sz="0" w:space="0" w:color="auto"/>
        <w:left w:val="none" w:sz="0" w:space="0" w:color="auto"/>
        <w:bottom w:val="none" w:sz="0" w:space="0" w:color="auto"/>
        <w:right w:val="none" w:sz="0" w:space="0" w:color="auto"/>
      </w:divBdr>
    </w:div>
    <w:div w:id="258605618">
      <w:bodyDiv w:val="1"/>
      <w:marLeft w:val="0"/>
      <w:marRight w:val="0"/>
      <w:marTop w:val="0"/>
      <w:marBottom w:val="0"/>
      <w:divBdr>
        <w:top w:val="none" w:sz="0" w:space="0" w:color="auto"/>
        <w:left w:val="none" w:sz="0" w:space="0" w:color="auto"/>
        <w:bottom w:val="none" w:sz="0" w:space="0" w:color="auto"/>
        <w:right w:val="none" w:sz="0" w:space="0" w:color="auto"/>
      </w:divBdr>
    </w:div>
    <w:div w:id="264387588">
      <w:bodyDiv w:val="1"/>
      <w:marLeft w:val="0"/>
      <w:marRight w:val="0"/>
      <w:marTop w:val="0"/>
      <w:marBottom w:val="0"/>
      <w:divBdr>
        <w:top w:val="none" w:sz="0" w:space="0" w:color="auto"/>
        <w:left w:val="none" w:sz="0" w:space="0" w:color="auto"/>
        <w:bottom w:val="none" w:sz="0" w:space="0" w:color="auto"/>
        <w:right w:val="none" w:sz="0" w:space="0" w:color="auto"/>
      </w:divBdr>
    </w:div>
    <w:div w:id="312758911">
      <w:bodyDiv w:val="1"/>
      <w:marLeft w:val="0"/>
      <w:marRight w:val="0"/>
      <w:marTop w:val="0"/>
      <w:marBottom w:val="0"/>
      <w:divBdr>
        <w:top w:val="none" w:sz="0" w:space="0" w:color="auto"/>
        <w:left w:val="none" w:sz="0" w:space="0" w:color="auto"/>
        <w:bottom w:val="none" w:sz="0" w:space="0" w:color="auto"/>
        <w:right w:val="none" w:sz="0" w:space="0" w:color="auto"/>
      </w:divBdr>
    </w:div>
    <w:div w:id="320887046">
      <w:bodyDiv w:val="1"/>
      <w:marLeft w:val="0"/>
      <w:marRight w:val="0"/>
      <w:marTop w:val="0"/>
      <w:marBottom w:val="0"/>
      <w:divBdr>
        <w:top w:val="none" w:sz="0" w:space="0" w:color="auto"/>
        <w:left w:val="none" w:sz="0" w:space="0" w:color="auto"/>
        <w:bottom w:val="none" w:sz="0" w:space="0" w:color="auto"/>
        <w:right w:val="none" w:sz="0" w:space="0" w:color="auto"/>
      </w:divBdr>
    </w:div>
    <w:div w:id="336619643">
      <w:bodyDiv w:val="1"/>
      <w:marLeft w:val="0"/>
      <w:marRight w:val="0"/>
      <w:marTop w:val="0"/>
      <w:marBottom w:val="0"/>
      <w:divBdr>
        <w:top w:val="none" w:sz="0" w:space="0" w:color="auto"/>
        <w:left w:val="none" w:sz="0" w:space="0" w:color="auto"/>
        <w:bottom w:val="none" w:sz="0" w:space="0" w:color="auto"/>
        <w:right w:val="none" w:sz="0" w:space="0" w:color="auto"/>
      </w:divBdr>
    </w:div>
    <w:div w:id="353239396">
      <w:bodyDiv w:val="1"/>
      <w:marLeft w:val="0"/>
      <w:marRight w:val="0"/>
      <w:marTop w:val="0"/>
      <w:marBottom w:val="0"/>
      <w:divBdr>
        <w:top w:val="none" w:sz="0" w:space="0" w:color="auto"/>
        <w:left w:val="none" w:sz="0" w:space="0" w:color="auto"/>
        <w:bottom w:val="none" w:sz="0" w:space="0" w:color="auto"/>
        <w:right w:val="none" w:sz="0" w:space="0" w:color="auto"/>
      </w:divBdr>
    </w:div>
    <w:div w:id="363747573">
      <w:bodyDiv w:val="1"/>
      <w:marLeft w:val="0"/>
      <w:marRight w:val="0"/>
      <w:marTop w:val="0"/>
      <w:marBottom w:val="0"/>
      <w:divBdr>
        <w:top w:val="none" w:sz="0" w:space="0" w:color="auto"/>
        <w:left w:val="none" w:sz="0" w:space="0" w:color="auto"/>
        <w:bottom w:val="none" w:sz="0" w:space="0" w:color="auto"/>
        <w:right w:val="none" w:sz="0" w:space="0" w:color="auto"/>
      </w:divBdr>
    </w:div>
    <w:div w:id="365452385">
      <w:bodyDiv w:val="1"/>
      <w:marLeft w:val="0"/>
      <w:marRight w:val="0"/>
      <w:marTop w:val="0"/>
      <w:marBottom w:val="0"/>
      <w:divBdr>
        <w:top w:val="none" w:sz="0" w:space="0" w:color="auto"/>
        <w:left w:val="none" w:sz="0" w:space="0" w:color="auto"/>
        <w:bottom w:val="none" w:sz="0" w:space="0" w:color="auto"/>
        <w:right w:val="none" w:sz="0" w:space="0" w:color="auto"/>
      </w:divBdr>
      <w:divsChild>
        <w:div w:id="1796676000">
          <w:marLeft w:val="0"/>
          <w:marRight w:val="0"/>
          <w:marTop w:val="0"/>
          <w:marBottom w:val="0"/>
          <w:divBdr>
            <w:top w:val="none" w:sz="0" w:space="0" w:color="auto"/>
            <w:left w:val="none" w:sz="0" w:space="0" w:color="auto"/>
            <w:bottom w:val="none" w:sz="0" w:space="0" w:color="auto"/>
            <w:right w:val="none" w:sz="0" w:space="0" w:color="auto"/>
          </w:divBdr>
          <w:divsChild>
            <w:div w:id="2113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46486">
      <w:bodyDiv w:val="1"/>
      <w:marLeft w:val="0"/>
      <w:marRight w:val="0"/>
      <w:marTop w:val="0"/>
      <w:marBottom w:val="0"/>
      <w:divBdr>
        <w:top w:val="none" w:sz="0" w:space="0" w:color="auto"/>
        <w:left w:val="none" w:sz="0" w:space="0" w:color="auto"/>
        <w:bottom w:val="none" w:sz="0" w:space="0" w:color="auto"/>
        <w:right w:val="none" w:sz="0" w:space="0" w:color="auto"/>
      </w:divBdr>
    </w:div>
    <w:div w:id="393545407">
      <w:bodyDiv w:val="1"/>
      <w:marLeft w:val="0"/>
      <w:marRight w:val="0"/>
      <w:marTop w:val="0"/>
      <w:marBottom w:val="0"/>
      <w:divBdr>
        <w:top w:val="none" w:sz="0" w:space="0" w:color="auto"/>
        <w:left w:val="none" w:sz="0" w:space="0" w:color="auto"/>
        <w:bottom w:val="none" w:sz="0" w:space="0" w:color="auto"/>
        <w:right w:val="none" w:sz="0" w:space="0" w:color="auto"/>
      </w:divBdr>
    </w:div>
    <w:div w:id="399639968">
      <w:bodyDiv w:val="1"/>
      <w:marLeft w:val="0"/>
      <w:marRight w:val="0"/>
      <w:marTop w:val="0"/>
      <w:marBottom w:val="0"/>
      <w:divBdr>
        <w:top w:val="none" w:sz="0" w:space="0" w:color="auto"/>
        <w:left w:val="none" w:sz="0" w:space="0" w:color="auto"/>
        <w:bottom w:val="none" w:sz="0" w:space="0" w:color="auto"/>
        <w:right w:val="none" w:sz="0" w:space="0" w:color="auto"/>
      </w:divBdr>
    </w:div>
    <w:div w:id="402799635">
      <w:bodyDiv w:val="1"/>
      <w:marLeft w:val="0"/>
      <w:marRight w:val="0"/>
      <w:marTop w:val="0"/>
      <w:marBottom w:val="0"/>
      <w:divBdr>
        <w:top w:val="none" w:sz="0" w:space="0" w:color="auto"/>
        <w:left w:val="none" w:sz="0" w:space="0" w:color="auto"/>
        <w:bottom w:val="none" w:sz="0" w:space="0" w:color="auto"/>
        <w:right w:val="none" w:sz="0" w:space="0" w:color="auto"/>
      </w:divBdr>
    </w:div>
    <w:div w:id="408428636">
      <w:bodyDiv w:val="1"/>
      <w:marLeft w:val="0"/>
      <w:marRight w:val="0"/>
      <w:marTop w:val="0"/>
      <w:marBottom w:val="0"/>
      <w:divBdr>
        <w:top w:val="none" w:sz="0" w:space="0" w:color="auto"/>
        <w:left w:val="none" w:sz="0" w:space="0" w:color="auto"/>
        <w:bottom w:val="none" w:sz="0" w:space="0" w:color="auto"/>
        <w:right w:val="none" w:sz="0" w:space="0" w:color="auto"/>
      </w:divBdr>
    </w:div>
    <w:div w:id="411704220">
      <w:bodyDiv w:val="1"/>
      <w:marLeft w:val="0"/>
      <w:marRight w:val="0"/>
      <w:marTop w:val="0"/>
      <w:marBottom w:val="0"/>
      <w:divBdr>
        <w:top w:val="none" w:sz="0" w:space="0" w:color="auto"/>
        <w:left w:val="none" w:sz="0" w:space="0" w:color="auto"/>
        <w:bottom w:val="none" w:sz="0" w:space="0" w:color="auto"/>
        <w:right w:val="none" w:sz="0" w:space="0" w:color="auto"/>
      </w:divBdr>
    </w:div>
    <w:div w:id="441147081">
      <w:bodyDiv w:val="1"/>
      <w:marLeft w:val="0"/>
      <w:marRight w:val="0"/>
      <w:marTop w:val="0"/>
      <w:marBottom w:val="0"/>
      <w:divBdr>
        <w:top w:val="none" w:sz="0" w:space="0" w:color="auto"/>
        <w:left w:val="none" w:sz="0" w:space="0" w:color="auto"/>
        <w:bottom w:val="none" w:sz="0" w:space="0" w:color="auto"/>
        <w:right w:val="none" w:sz="0" w:space="0" w:color="auto"/>
      </w:divBdr>
    </w:div>
    <w:div w:id="462886289">
      <w:bodyDiv w:val="1"/>
      <w:marLeft w:val="0"/>
      <w:marRight w:val="0"/>
      <w:marTop w:val="0"/>
      <w:marBottom w:val="0"/>
      <w:divBdr>
        <w:top w:val="none" w:sz="0" w:space="0" w:color="auto"/>
        <w:left w:val="none" w:sz="0" w:space="0" w:color="auto"/>
        <w:bottom w:val="none" w:sz="0" w:space="0" w:color="auto"/>
        <w:right w:val="none" w:sz="0" w:space="0" w:color="auto"/>
      </w:divBdr>
    </w:div>
    <w:div w:id="467208684">
      <w:bodyDiv w:val="1"/>
      <w:marLeft w:val="0"/>
      <w:marRight w:val="0"/>
      <w:marTop w:val="0"/>
      <w:marBottom w:val="0"/>
      <w:divBdr>
        <w:top w:val="none" w:sz="0" w:space="0" w:color="auto"/>
        <w:left w:val="none" w:sz="0" w:space="0" w:color="auto"/>
        <w:bottom w:val="none" w:sz="0" w:space="0" w:color="auto"/>
        <w:right w:val="none" w:sz="0" w:space="0" w:color="auto"/>
      </w:divBdr>
    </w:div>
    <w:div w:id="526648801">
      <w:bodyDiv w:val="1"/>
      <w:marLeft w:val="0"/>
      <w:marRight w:val="0"/>
      <w:marTop w:val="0"/>
      <w:marBottom w:val="0"/>
      <w:divBdr>
        <w:top w:val="none" w:sz="0" w:space="0" w:color="auto"/>
        <w:left w:val="none" w:sz="0" w:space="0" w:color="auto"/>
        <w:bottom w:val="none" w:sz="0" w:space="0" w:color="auto"/>
        <w:right w:val="none" w:sz="0" w:space="0" w:color="auto"/>
      </w:divBdr>
      <w:divsChild>
        <w:div w:id="1291204332">
          <w:marLeft w:val="0"/>
          <w:marRight w:val="0"/>
          <w:marTop w:val="0"/>
          <w:marBottom w:val="0"/>
          <w:divBdr>
            <w:top w:val="none" w:sz="0" w:space="0" w:color="auto"/>
            <w:left w:val="none" w:sz="0" w:space="0" w:color="auto"/>
            <w:bottom w:val="none" w:sz="0" w:space="0" w:color="auto"/>
            <w:right w:val="none" w:sz="0" w:space="0" w:color="auto"/>
          </w:divBdr>
          <w:divsChild>
            <w:div w:id="680935033">
              <w:marLeft w:val="0"/>
              <w:marRight w:val="0"/>
              <w:marTop w:val="0"/>
              <w:marBottom w:val="0"/>
              <w:divBdr>
                <w:top w:val="none" w:sz="0" w:space="0" w:color="auto"/>
                <w:left w:val="none" w:sz="0" w:space="0" w:color="auto"/>
                <w:bottom w:val="none" w:sz="0" w:space="0" w:color="auto"/>
                <w:right w:val="none" w:sz="0" w:space="0" w:color="auto"/>
              </w:divBdr>
              <w:divsChild>
                <w:div w:id="1688285385">
                  <w:marLeft w:val="0"/>
                  <w:marRight w:val="0"/>
                  <w:marTop w:val="0"/>
                  <w:marBottom w:val="0"/>
                  <w:divBdr>
                    <w:top w:val="none" w:sz="0" w:space="0" w:color="auto"/>
                    <w:left w:val="none" w:sz="0" w:space="0" w:color="auto"/>
                    <w:bottom w:val="none" w:sz="0" w:space="0" w:color="auto"/>
                    <w:right w:val="none" w:sz="0" w:space="0" w:color="auto"/>
                  </w:divBdr>
                  <w:divsChild>
                    <w:div w:id="184955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571426">
      <w:bodyDiv w:val="1"/>
      <w:marLeft w:val="0"/>
      <w:marRight w:val="0"/>
      <w:marTop w:val="0"/>
      <w:marBottom w:val="0"/>
      <w:divBdr>
        <w:top w:val="none" w:sz="0" w:space="0" w:color="auto"/>
        <w:left w:val="none" w:sz="0" w:space="0" w:color="auto"/>
        <w:bottom w:val="none" w:sz="0" w:space="0" w:color="auto"/>
        <w:right w:val="none" w:sz="0" w:space="0" w:color="auto"/>
      </w:divBdr>
    </w:div>
    <w:div w:id="586883043">
      <w:bodyDiv w:val="1"/>
      <w:marLeft w:val="0"/>
      <w:marRight w:val="0"/>
      <w:marTop w:val="0"/>
      <w:marBottom w:val="0"/>
      <w:divBdr>
        <w:top w:val="none" w:sz="0" w:space="0" w:color="auto"/>
        <w:left w:val="none" w:sz="0" w:space="0" w:color="auto"/>
        <w:bottom w:val="none" w:sz="0" w:space="0" w:color="auto"/>
        <w:right w:val="none" w:sz="0" w:space="0" w:color="auto"/>
      </w:divBdr>
    </w:div>
    <w:div w:id="595673552">
      <w:bodyDiv w:val="1"/>
      <w:marLeft w:val="0"/>
      <w:marRight w:val="0"/>
      <w:marTop w:val="0"/>
      <w:marBottom w:val="0"/>
      <w:divBdr>
        <w:top w:val="none" w:sz="0" w:space="0" w:color="auto"/>
        <w:left w:val="none" w:sz="0" w:space="0" w:color="auto"/>
        <w:bottom w:val="none" w:sz="0" w:space="0" w:color="auto"/>
        <w:right w:val="none" w:sz="0" w:space="0" w:color="auto"/>
      </w:divBdr>
    </w:div>
    <w:div w:id="598368518">
      <w:bodyDiv w:val="1"/>
      <w:marLeft w:val="0"/>
      <w:marRight w:val="0"/>
      <w:marTop w:val="0"/>
      <w:marBottom w:val="0"/>
      <w:divBdr>
        <w:top w:val="none" w:sz="0" w:space="0" w:color="auto"/>
        <w:left w:val="none" w:sz="0" w:space="0" w:color="auto"/>
        <w:bottom w:val="none" w:sz="0" w:space="0" w:color="auto"/>
        <w:right w:val="none" w:sz="0" w:space="0" w:color="auto"/>
      </w:divBdr>
      <w:divsChild>
        <w:div w:id="1901942918">
          <w:marLeft w:val="0"/>
          <w:marRight w:val="0"/>
          <w:marTop w:val="0"/>
          <w:marBottom w:val="0"/>
          <w:divBdr>
            <w:top w:val="none" w:sz="0" w:space="0" w:color="auto"/>
            <w:left w:val="none" w:sz="0" w:space="0" w:color="auto"/>
            <w:bottom w:val="none" w:sz="0" w:space="0" w:color="auto"/>
            <w:right w:val="none" w:sz="0" w:space="0" w:color="auto"/>
          </w:divBdr>
        </w:div>
        <w:div w:id="957949472">
          <w:marLeft w:val="0"/>
          <w:marRight w:val="0"/>
          <w:marTop w:val="0"/>
          <w:marBottom w:val="0"/>
          <w:divBdr>
            <w:top w:val="none" w:sz="0" w:space="0" w:color="auto"/>
            <w:left w:val="none" w:sz="0" w:space="0" w:color="auto"/>
            <w:bottom w:val="none" w:sz="0" w:space="0" w:color="auto"/>
            <w:right w:val="none" w:sz="0" w:space="0" w:color="auto"/>
          </w:divBdr>
        </w:div>
        <w:div w:id="596251980">
          <w:marLeft w:val="0"/>
          <w:marRight w:val="0"/>
          <w:marTop w:val="0"/>
          <w:marBottom w:val="0"/>
          <w:divBdr>
            <w:top w:val="none" w:sz="0" w:space="0" w:color="auto"/>
            <w:left w:val="none" w:sz="0" w:space="0" w:color="auto"/>
            <w:bottom w:val="none" w:sz="0" w:space="0" w:color="auto"/>
            <w:right w:val="none" w:sz="0" w:space="0" w:color="auto"/>
          </w:divBdr>
        </w:div>
      </w:divsChild>
    </w:div>
    <w:div w:id="640959416">
      <w:bodyDiv w:val="1"/>
      <w:marLeft w:val="0"/>
      <w:marRight w:val="0"/>
      <w:marTop w:val="0"/>
      <w:marBottom w:val="0"/>
      <w:divBdr>
        <w:top w:val="none" w:sz="0" w:space="0" w:color="auto"/>
        <w:left w:val="none" w:sz="0" w:space="0" w:color="auto"/>
        <w:bottom w:val="none" w:sz="0" w:space="0" w:color="auto"/>
        <w:right w:val="none" w:sz="0" w:space="0" w:color="auto"/>
      </w:divBdr>
    </w:div>
    <w:div w:id="661856366">
      <w:bodyDiv w:val="1"/>
      <w:marLeft w:val="0"/>
      <w:marRight w:val="0"/>
      <w:marTop w:val="0"/>
      <w:marBottom w:val="0"/>
      <w:divBdr>
        <w:top w:val="none" w:sz="0" w:space="0" w:color="auto"/>
        <w:left w:val="none" w:sz="0" w:space="0" w:color="auto"/>
        <w:bottom w:val="none" w:sz="0" w:space="0" w:color="auto"/>
        <w:right w:val="none" w:sz="0" w:space="0" w:color="auto"/>
      </w:divBdr>
      <w:divsChild>
        <w:div w:id="917666152">
          <w:marLeft w:val="0"/>
          <w:marRight w:val="0"/>
          <w:marTop w:val="0"/>
          <w:marBottom w:val="0"/>
          <w:divBdr>
            <w:top w:val="none" w:sz="0" w:space="0" w:color="auto"/>
            <w:left w:val="none" w:sz="0" w:space="0" w:color="auto"/>
            <w:bottom w:val="none" w:sz="0" w:space="0" w:color="auto"/>
            <w:right w:val="none" w:sz="0" w:space="0" w:color="auto"/>
          </w:divBdr>
        </w:div>
      </w:divsChild>
    </w:div>
    <w:div w:id="740297778">
      <w:bodyDiv w:val="1"/>
      <w:marLeft w:val="0"/>
      <w:marRight w:val="0"/>
      <w:marTop w:val="0"/>
      <w:marBottom w:val="0"/>
      <w:divBdr>
        <w:top w:val="none" w:sz="0" w:space="0" w:color="auto"/>
        <w:left w:val="none" w:sz="0" w:space="0" w:color="auto"/>
        <w:bottom w:val="none" w:sz="0" w:space="0" w:color="auto"/>
        <w:right w:val="none" w:sz="0" w:space="0" w:color="auto"/>
      </w:divBdr>
      <w:divsChild>
        <w:div w:id="1812823070">
          <w:marLeft w:val="0"/>
          <w:marRight w:val="0"/>
          <w:marTop w:val="0"/>
          <w:marBottom w:val="0"/>
          <w:divBdr>
            <w:top w:val="none" w:sz="0" w:space="0" w:color="auto"/>
            <w:left w:val="none" w:sz="0" w:space="0" w:color="auto"/>
            <w:bottom w:val="none" w:sz="0" w:space="0" w:color="auto"/>
            <w:right w:val="none" w:sz="0" w:space="0" w:color="auto"/>
          </w:divBdr>
        </w:div>
      </w:divsChild>
    </w:div>
    <w:div w:id="741022611">
      <w:bodyDiv w:val="1"/>
      <w:marLeft w:val="0"/>
      <w:marRight w:val="0"/>
      <w:marTop w:val="0"/>
      <w:marBottom w:val="0"/>
      <w:divBdr>
        <w:top w:val="none" w:sz="0" w:space="0" w:color="auto"/>
        <w:left w:val="none" w:sz="0" w:space="0" w:color="auto"/>
        <w:bottom w:val="none" w:sz="0" w:space="0" w:color="auto"/>
        <w:right w:val="none" w:sz="0" w:space="0" w:color="auto"/>
      </w:divBdr>
      <w:divsChild>
        <w:div w:id="151725577">
          <w:marLeft w:val="0"/>
          <w:marRight w:val="0"/>
          <w:marTop w:val="0"/>
          <w:marBottom w:val="0"/>
          <w:divBdr>
            <w:top w:val="none" w:sz="0" w:space="0" w:color="auto"/>
            <w:left w:val="none" w:sz="0" w:space="0" w:color="auto"/>
            <w:bottom w:val="none" w:sz="0" w:space="0" w:color="auto"/>
            <w:right w:val="none" w:sz="0" w:space="0" w:color="auto"/>
          </w:divBdr>
        </w:div>
        <w:div w:id="941456474">
          <w:marLeft w:val="0"/>
          <w:marRight w:val="0"/>
          <w:marTop w:val="0"/>
          <w:marBottom w:val="0"/>
          <w:divBdr>
            <w:top w:val="none" w:sz="0" w:space="0" w:color="auto"/>
            <w:left w:val="none" w:sz="0" w:space="0" w:color="auto"/>
            <w:bottom w:val="none" w:sz="0" w:space="0" w:color="auto"/>
            <w:right w:val="none" w:sz="0" w:space="0" w:color="auto"/>
          </w:divBdr>
        </w:div>
        <w:div w:id="1207597792">
          <w:marLeft w:val="0"/>
          <w:marRight w:val="0"/>
          <w:marTop w:val="0"/>
          <w:marBottom w:val="0"/>
          <w:divBdr>
            <w:top w:val="none" w:sz="0" w:space="0" w:color="auto"/>
            <w:left w:val="none" w:sz="0" w:space="0" w:color="auto"/>
            <w:bottom w:val="none" w:sz="0" w:space="0" w:color="auto"/>
            <w:right w:val="none" w:sz="0" w:space="0" w:color="auto"/>
          </w:divBdr>
        </w:div>
      </w:divsChild>
    </w:div>
    <w:div w:id="744569557">
      <w:bodyDiv w:val="1"/>
      <w:marLeft w:val="0"/>
      <w:marRight w:val="0"/>
      <w:marTop w:val="0"/>
      <w:marBottom w:val="0"/>
      <w:divBdr>
        <w:top w:val="none" w:sz="0" w:space="0" w:color="auto"/>
        <w:left w:val="none" w:sz="0" w:space="0" w:color="auto"/>
        <w:bottom w:val="none" w:sz="0" w:space="0" w:color="auto"/>
        <w:right w:val="none" w:sz="0" w:space="0" w:color="auto"/>
      </w:divBdr>
    </w:div>
    <w:div w:id="784811186">
      <w:bodyDiv w:val="1"/>
      <w:marLeft w:val="0"/>
      <w:marRight w:val="0"/>
      <w:marTop w:val="0"/>
      <w:marBottom w:val="0"/>
      <w:divBdr>
        <w:top w:val="none" w:sz="0" w:space="0" w:color="auto"/>
        <w:left w:val="none" w:sz="0" w:space="0" w:color="auto"/>
        <w:bottom w:val="none" w:sz="0" w:space="0" w:color="auto"/>
        <w:right w:val="none" w:sz="0" w:space="0" w:color="auto"/>
      </w:divBdr>
    </w:div>
    <w:div w:id="787434342">
      <w:bodyDiv w:val="1"/>
      <w:marLeft w:val="0"/>
      <w:marRight w:val="0"/>
      <w:marTop w:val="0"/>
      <w:marBottom w:val="0"/>
      <w:divBdr>
        <w:top w:val="none" w:sz="0" w:space="0" w:color="auto"/>
        <w:left w:val="none" w:sz="0" w:space="0" w:color="auto"/>
        <w:bottom w:val="none" w:sz="0" w:space="0" w:color="auto"/>
        <w:right w:val="none" w:sz="0" w:space="0" w:color="auto"/>
      </w:divBdr>
    </w:div>
    <w:div w:id="787964764">
      <w:bodyDiv w:val="1"/>
      <w:marLeft w:val="0"/>
      <w:marRight w:val="0"/>
      <w:marTop w:val="0"/>
      <w:marBottom w:val="0"/>
      <w:divBdr>
        <w:top w:val="none" w:sz="0" w:space="0" w:color="auto"/>
        <w:left w:val="none" w:sz="0" w:space="0" w:color="auto"/>
        <w:bottom w:val="none" w:sz="0" w:space="0" w:color="auto"/>
        <w:right w:val="none" w:sz="0" w:space="0" w:color="auto"/>
      </w:divBdr>
    </w:div>
    <w:div w:id="815225127">
      <w:bodyDiv w:val="1"/>
      <w:marLeft w:val="0"/>
      <w:marRight w:val="0"/>
      <w:marTop w:val="0"/>
      <w:marBottom w:val="0"/>
      <w:divBdr>
        <w:top w:val="none" w:sz="0" w:space="0" w:color="auto"/>
        <w:left w:val="none" w:sz="0" w:space="0" w:color="auto"/>
        <w:bottom w:val="none" w:sz="0" w:space="0" w:color="auto"/>
        <w:right w:val="none" w:sz="0" w:space="0" w:color="auto"/>
      </w:divBdr>
    </w:div>
    <w:div w:id="825318178">
      <w:bodyDiv w:val="1"/>
      <w:marLeft w:val="0"/>
      <w:marRight w:val="0"/>
      <w:marTop w:val="0"/>
      <w:marBottom w:val="0"/>
      <w:divBdr>
        <w:top w:val="none" w:sz="0" w:space="0" w:color="auto"/>
        <w:left w:val="none" w:sz="0" w:space="0" w:color="auto"/>
        <w:bottom w:val="none" w:sz="0" w:space="0" w:color="auto"/>
        <w:right w:val="none" w:sz="0" w:space="0" w:color="auto"/>
      </w:divBdr>
    </w:div>
    <w:div w:id="843210031">
      <w:bodyDiv w:val="1"/>
      <w:marLeft w:val="0"/>
      <w:marRight w:val="0"/>
      <w:marTop w:val="0"/>
      <w:marBottom w:val="0"/>
      <w:divBdr>
        <w:top w:val="none" w:sz="0" w:space="0" w:color="auto"/>
        <w:left w:val="none" w:sz="0" w:space="0" w:color="auto"/>
        <w:bottom w:val="none" w:sz="0" w:space="0" w:color="auto"/>
        <w:right w:val="none" w:sz="0" w:space="0" w:color="auto"/>
      </w:divBdr>
    </w:div>
    <w:div w:id="882669053">
      <w:bodyDiv w:val="1"/>
      <w:marLeft w:val="0"/>
      <w:marRight w:val="0"/>
      <w:marTop w:val="0"/>
      <w:marBottom w:val="0"/>
      <w:divBdr>
        <w:top w:val="none" w:sz="0" w:space="0" w:color="auto"/>
        <w:left w:val="none" w:sz="0" w:space="0" w:color="auto"/>
        <w:bottom w:val="none" w:sz="0" w:space="0" w:color="auto"/>
        <w:right w:val="none" w:sz="0" w:space="0" w:color="auto"/>
      </w:divBdr>
    </w:div>
    <w:div w:id="924189671">
      <w:bodyDiv w:val="1"/>
      <w:marLeft w:val="0"/>
      <w:marRight w:val="0"/>
      <w:marTop w:val="0"/>
      <w:marBottom w:val="0"/>
      <w:divBdr>
        <w:top w:val="none" w:sz="0" w:space="0" w:color="auto"/>
        <w:left w:val="none" w:sz="0" w:space="0" w:color="auto"/>
        <w:bottom w:val="none" w:sz="0" w:space="0" w:color="auto"/>
        <w:right w:val="none" w:sz="0" w:space="0" w:color="auto"/>
      </w:divBdr>
      <w:divsChild>
        <w:div w:id="500050599">
          <w:marLeft w:val="0"/>
          <w:marRight w:val="0"/>
          <w:marTop w:val="0"/>
          <w:marBottom w:val="0"/>
          <w:divBdr>
            <w:top w:val="none" w:sz="0" w:space="0" w:color="auto"/>
            <w:left w:val="none" w:sz="0" w:space="0" w:color="auto"/>
            <w:bottom w:val="none" w:sz="0" w:space="0" w:color="auto"/>
            <w:right w:val="none" w:sz="0" w:space="0" w:color="auto"/>
          </w:divBdr>
        </w:div>
        <w:div w:id="1716082565">
          <w:marLeft w:val="0"/>
          <w:marRight w:val="0"/>
          <w:marTop w:val="0"/>
          <w:marBottom w:val="0"/>
          <w:divBdr>
            <w:top w:val="none" w:sz="0" w:space="0" w:color="auto"/>
            <w:left w:val="none" w:sz="0" w:space="0" w:color="auto"/>
            <w:bottom w:val="none" w:sz="0" w:space="0" w:color="auto"/>
            <w:right w:val="none" w:sz="0" w:space="0" w:color="auto"/>
          </w:divBdr>
        </w:div>
        <w:div w:id="752824054">
          <w:marLeft w:val="0"/>
          <w:marRight w:val="0"/>
          <w:marTop w:val="0"/>
          <w:marBottom w:val="0"/>
          <w:divBdr>
            <w:top w:val="none" w:sz="0" w:space="0" w:color="auto"/>
            <w:left w:val="none" w:sz="0" w:space="0" w:color="auto"/>
            <w:bottom w:val="none" w:sz="0" w:space="0" w:color="auto"/>
            <w:right w:val="none" w:sz="0" w:space="0" w:color="auto"/>
          </w:divBdr>
        </w:div>
      </w:divsChild>
    </w:div>
    <w:div w:id="928152014">
      <w:bodyDiv w:val="1"/>
      <w:marLeft w:val="0"/>
      <w:marRight w:val="0"/>
      <w:marTop w:val="0"/>
      <w:marBottom w:val="0"/>
      <w:divBdr>
        <w:top w:val="none" w:sz="0" w:space="0" w:color="auto"/>
        <w:left w:val="none" w:sz="0" w:space="0" w:color="auto"/>
        <w:bottom w:val="none" w:sz="0" w:space="0" w:color="auto"/>
        <w:right w:val="none" w:sz="0" w:space="0" w:color="auto"/>
      </w:divBdr>
    </w:div>
    <w:div w:id="953441883">
      <w:bodyDiv w:val="1"/>
      <w:marLeft w:val="0"/>
      <w:marRight w:val="0"/>
      <w:marTop w:val="0"/>
      <w:marBottom w:val="0"/>
      <w:divBdr>
        <w:top w:val="none" w:sz="0" w:space="0" w:color="auto"/>
        <w:left w:val="none" w:sz="0" w:space="0" w:color="auto"/>
        <w:bottom w:val="none" w:sz="0" w:space="0" w:color="auto"/>
        <w:right w:val="none" w:sz="0" w:space="0" w:color="auto"/>
      </w:divBdr>
      <w:divsChild>
        <w:div w:id="643126156">
          <w:marLeft w:val="0"/>
          <w:marRight w:val="0"/>
          <w:marTop w:val="0"/>
          <w:marBottom w:val="0"/>
          <w:divBdr>
            <w:top w:val="none" w:sz="0" w:space="0" w:color="auto"/>
            <w:left w:val="none" w:sz="0" w:space="0" w:color="auto"/>
            <w:bottom w:val="none" w:sz="0" w:space="0" w:color="auto"/>
            <w:right w:val="none" w:sz="0" w:space="0" w:color="auto"/>
          </w:divBdr>
          <w:divsChild>
            <w:div w:id="988948614">
              <w:marLeft w:val="0"/>
              <w:marRight w:val="0"/>
              <w:marTop w:val="0"/>
              <w:marBottom w:val="0"/>
              <w:divBdr>
                <w:top w:val="none" w:sz="0" w:space="0" w:color="auto"/>
                <w:left w:val="none" w:sz="0" w:space="0" w:color="auto"/>
                <w:bottom w:val="none" w:sz="0" w:space="0" w:color="auto"/>
                <w:right w:val="none" w:sz="0" w:space="0" w:color="auto"/>
              </w:divBdr>
              <w:divsChild>
                <w:div w:id="1080371351">
                  <w:marLeft w:val="0"/>
                  <w:marRight w:val="0"/>
                  <w:marTop w:val="0"/>
                  <w:marBottom w:val="0"/>
                  <w:divBdr>
                    <w:top w:val="none" w:sz="0" w:space="0" w:color="auto"/>
                    <w:left w:val="none" w:sz="0" w:space="0" w:color="auto"/>
                    <w:bottom w:val="none" w:sz="0" w:space="0" w:color="auto"/>
                    <w:right w:val="none" w:sz="0" w:space="0" w:color="auto"/>
                  </w:divBdr>
                  <w:divsChild>
                    <w:div w:id="25278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939962">
      <w:bodyDiv w:val="1"/>
      <w:marLeft w:val="0"/>
      <w:marRight w:val="0"/>
      <w:marTop w:val="0"/>
      <w:marBottom w:val="0"/>
      <w:divBdr>
        <w:top w:val="none" w:sz="0" w:space="0" w:color="auto"/>
        <w:left w:val="none" w:sz="0" w:space="0" w:color="auto"/>
        <w:bottom w:val="none" w:sz="0" w:space="0" w:color="auto"/>
        <w:right w:val="none" w:sz="0" w:space="0" w:color="auto"/>
      </w:divBdr>
      <w:divsChild>
        <w:div w:id="1036856124">
          <w:marLeft w:val="0"/>
          <w:marRight w:val="0"/>
          <w:marTop w:val="0"/>
          <w:marBottom w:val="0"/>
          <w:divBdr>
            <w:top w:val="none" w:sz="0" w:space="0" w:color="auto"/>
            <w:left w:val="none" w:sz="0" w:space="0" w:color="auto"/>
            <w:bottom w:val="none" w:sz="0" w:space="0" w:color="auto"/>
            <w:right w:val="none" w:sz="0" w:space="0" w:color="auto"/>
          </w:divBdr>
          <w:divsChild>
            <w:div w:id="1990091908">
              <w:marLeft w:val="0"/>
              <w:marRight w:val="0"/>
              <w:marTop w:val="0"/>
              <w:marBottom w:val="0"/>
              <w:divBdr>
                <w:top w:val="none" w:sz="0" w:space="0" w:color="auto"/>
                <w:left w:val="none" w:sz="0" w:space="0" w:color="auto"/>
                <w:bottom w:val="none" w:sz="0" w:space="0" w:color="auto"/>
                <w:right w:val="none" w:sz="0" w:space="0" w:color="auto"/>
              </w:divBdr>
              <w:divsChild>
                <w:div w:id="436488861">
                  <w:marLeft w:val="0"/>
                  <w:marRight w:val="0"/>
                  <w:marTop w:val="0"/>
                  <w:marBottom w:val="0"/>
                  <w:divBdr>
                    <w:top w:val="none" w:sz="0" w:space="0" w:color="auto"/>
                    <w:left w:val="none" w:sz="0" w:space="0" w:color="auto"/>
                    <w:bottom w:val="none" w:sz="0" w:space="0" w:color="auto"/>
                    <w:right w:val="none" w:sz="0" w:space="0" w:color="auto"/>
                  </w:divBdr>
                  <w:divsChild>
                    <w:div w:id="77347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727568">
      <w:bodyDiv w:val="1"/>
      <w:marLeft w:val="0"/>
      <w:marRight w:val="0"/>
      <w:marTop w:val="0"/>
      <w:marBottom w:val="0"/>
      <w:divBdr>
        <w:top w:val="none" w:sz="0" w:space="0" w:color="auto"/>
        <w:left w:val="none" w:sz="0" w:space="0" w:color="auto"/>
        <w:bottom w:val="none" w:sz="0" w:space="0" w:color="auto"/>
        <w:right w:val="none" w:sz="0" w:space="0" w:color="auto"/>
      </w:divBdr>
    </w:div>
    <w:div w:id="980040856">
      <w:bodyDiv w:val="1"/>
      <w:marLeft w:val="0"/>
      <w:marRight w:val="0"/>
      <w:marTop w:val="0"/>
      <w:marBottom w:val="0"/>
      <w:divBdr>
        <w:top w:val="none" w:sz="0" w:space="0" w:color="auto"/>
        <w:left w:val="none" w:sz="0" w:space="0" w:color="auto"/>
        <w:bottom w:val="none" w:sz="0" w:space="0" w:color="auto"/>
        <w:right w:val="none" w:sz="0" w:space="0" w:color="auto"/>
      </w:divBdr>
    </w:div>
    <w:div w:id="982272696">
      <w:bodyDiv w:val="1"/>
      <w:marLeft w:val="0"/>
      <w:marRight w:val="0"/>
      <w:marTop w:val="0"/>
      <w:marBottom w:val="0"/>
      <w:divBdr>
        <w:top w:val="none" w:sz="0" w:space="0" w:color="auto"/>
        <w:left w:val="none" w:sz="0" w:space="0" w:color="auto"/>
        <w:bottom w:val="none" w:sz="0" w:space="0" w:color="auto"/>
        <w:right w:val="none" w:sz="0" w:space="0" w:color="auto"/>
      </w:divBdr>
    </w:div>
    <w:div w:id="995956897">
      <w:bodyDiv w:val="1"/>
      <w:marLeft w:val="0"/>
      <w:marRight w:val="0"/>
      <w:marTop w:val="0"/>
      <w:marBottom w:val="0"/>
      <w:divBdr>
        <w:top w:val="none" w:sz="0" w:space="0" w:color="auto"/>
        <w:left w:val="none" w:sz="0" w:space="0" w:color="auto"/>
        <w:bottom w:val="none" w:sz="0" w:space="0" w:color="auto"/>
        <w:right w:val="none" w:sz="0" w:space="0" w:color="auto"/>
      </w:divBdr>
    </w:div>
    <w:div w:id="1056246362">
      <w:bodyDiv w:val="1"/>
      <w:marLeft w:val="0"/>
      <w:marRight w:val="0"/>
      <w:marTop w:val="0"/>
      <w:marBottom w:val="0"/>
      <w:divBdr>
        <w:top w:val="none" w:sz="0" w:space="0" w:color="auto"/>
        <w:left w:val="none" w:sz="0" w:space="0" w:color="auto"/>
        <w:bottom w:val="none" w:sz="0" w:space="0" w:color="auto"/>
        <w:right w:val="none" w:sz="0" w:space="0" w:color="auto"/>
      </w:divBdr>
    </w:div>
    <w:div w:id="1061293018">
      <w:bodyDiv w:val="1"/>
      <w:marLeft w:val="0"/>
      <w:marRight w:val="0"/>
      <w:marTop w:val="0"/>
      <w:marBottom w:val="0"/>
      <w:divBdr>
        <w:top w:val="none" w:sz="0" w:space="0" w:color="auto"/>
        <w:left w:val="none" w:sz="0" w:space="0" w:color="auto"/>
        <w:bottom w:val="none" w:sz="0" w:space="0" w:color="auto"/>
        <w:right w:val="none" w:sz="0" w:space="0" w:color="auto"/>
      </w:divBdr>
      <w:divsChild>
        <w:div w:id="1593590253">
          <w:marLeft w:val="0"/>
          <w:marRight w:val="0"/>
          <w:marTop w:val="0"/>
          <w:marBottom w:val="0"/>
          <w:divBdr>
            <w:top w:val="none" w:sz="0" w:space="0" w:color="auto"/>
            <w:left w:val="none" w:sz="0" w:space="0" w:color="auto"/>
            <w:bottom w:val="none" w:sz="0" w:space="0" w:color="auto"/>
            <w:right w:val="none" w:sz="0" w:space="0" w:color="auto"/>
          </w:divBdr>
        </w:div>
        <w:div w:id="1335187053">
          <w:marLeft w:val="0"/>
          <w:marRight w:val="0"/>
          <w:marTop w:val="0"/>
          <w:marBottom w:val="0"/>
          <w:divBdr>
            <w:top w:val="none" w:sz="0" w:space="0" w:color="auto"/>
            <w:left w:val="none" w:sz="0" w:space="0" w:color="auto"/>
            <w:bottom w:val="none" w:sz="0" w:space="0" w:color="auto"/>
            <w:right w:val="none" w:sz="0" w:space="0" w:color="auto"/>
          </w:divBdr>
        </w:div>
        <w:div w:id="660701013">
          <w:marLeft w:val="0"/>
          <w:marRight w:val="0"/>
          <w:marTop w:val="0"/>
          <w:marBottom w:val="0"/>
          <w:divBdr>
            <w:top w:val="none" w:sz="0" w:space="0" w:color="auto"/>
            <w:left w:val="none" w:sz="0" w:space="0" w:color="auto"/>
            <w:bottom w:val="none" w:sz="0" w:space="0" w:color="auto"/>
            <w:right w:val="none" w:sz="0" w:space="0" w:color="auto"/>
          </w:divBdr>
        </w:div>
      </w:divsChild>
    </w:div>
    <w:div w:id="1064067938">
      <w:bodyDiv w:val="1"/>
      <w:marLeft w:val="0"/>
      <w:marRight w:val="0"/>
      <w:marTop w:val="0"/>
      <w:marBottom w:val="0"/>
      <w:divBdr>
        <w:top w:val="none" w:sz="0" w:space="0" w:color="auto"/>
        <w:left w:val="none" w:sz="0" w:space="0" w:color="auto"/>
        <w:bottom w:val="none" w:sz="0" w:space="0" w:color="auto"/>
        <w:right w:val="none" w:sz="0" w:space="0" w:color="auto"/>
      </w:divBdr>
    </w:div>
    <w:div w:id="1068572296">
      <w:bodyDiv w:val="1"/>
      <w:marLeft w:val="0"/>
      <w:marRight w:val="0"/>
      <w:marTop w:val="0"/>
      <w:marBottom w:val="0"/>
      <w:divBdr>
        <w:top w:val="none" w:sz="0" w:space="0" w:color="auto"/>
        <w:left w:val="none" w:sz="0" w:space="0" w:color="auto"/>
        <w:bottom w:val="none" w:sz="0" w:space="0" w:color="auto"/>
        <w:right w:val="none" w:sz="0" w:space="0" w:color="auto"/>
      </w:divBdr>
    </w:div>
    <w:div w:id="1073042663">
      <w:bodyDiv w:val="1"/>
      <w:marLeft w:val="0"/>
      <w:marRight w:val="0"/>
      <w:marTop w:val="0"/>
      <w:marBottom w:val="0"/>
      <w:divBdr>
        <w:top w:val="none" w:sz="0" w:space="0" w:color="auto"/>
        <w:left w:val="none" w:sz="0" w:space="0" w:color="auto"/>
        <w:bottom w:val="none" w:sz="0" w:space="0" w:color="auto"/>
        <w:right w:val="none" w:sz="0" w:space="0" w:color="auto"/>
      </w:divBdr>
    </w:div>
    <w:div w:id="1073356084">
      <w:bodyDiv w:val="1"/>
      <w:marLeft w:val="0"/>
      <w:marRight w:val="0"/>
      <w:marTop w:val="0"/>
      <w:marBottom w:val="0"/>
      <w:divBdr>
        <w:top w:val="none" w:sz="0" w:space="0" w:color="auto"/>
        <w:left w:val="none" w:sz="0" w:space="0" w:color="auto"/>
        <w:bottom w:val="none" w:sz="0" w:space="0" w:color="auto"/>
        <w:right w:val="none" w:sz="0" w:space="0" w:color="auto"/>
      </w:divBdr>
    </w:div>
    <w:div w:id="1077676339">
      <w:bodyDiv w:val="1"/>
      <w:marLeft w:val="0"/>
      <w:marRight w:val="0"/>
      <w:marTop w:val="0"/>
      <w:marBottom w:val="0"/>
      <w:divBdr>
        <w:top w:val="none" w:sz="0" w:space="0" w:color="auto"/>
        <w:left w:val="none" w:sz="0" w:space="0" w:color="auto"/>
        <w:bottom w:val="none" w:sz="0" w:space="0" w:color="auto"/>
        <w:right w:val="none" w:sz="0" w:space="0" w:color="auto"/>
      </w:divBdr>
    </w:div>
    <w:div w:id="1082794525">
      <w:bodyDiv w:val="1"/>
      <w:marLeft w:val="0"/>
      <w:marRight w:val="0"/>
      <w:marTop w:val="0"/>
      <w:marBottom w:val="0"/>
      <w:divBdr>
        <w:top w:val="none" w:sz="0" w:space="0" w:color="auto"/>
        <w:left w:val="none" w:sz="0" w:space="0" w:color="auto"/>
        <w:bottom w:val="none" w:sz="0" w:space="0" w:color="auto"/>
        <w:right w:val="none" w:sz="0" w:space="0" w:color="auto"/>
      </w:divBdr>
    </w:div>
    <w:div w:id="1091469167">
      <w:bodyDiv w:val="1"/>
      <w:marLeft w:val="0"/>
      <w:marRight w:val="0"/>
      <w:marTop w:val="0"/>
      <w:marBottom w:val="0"/>
      <w:divBdr>
        <w:top w:val="none" w:sz="0" w:space="0" w:color="auto"/>
        <w:left w:val="none" w:sz="0" w:space="0" w:color="auto"/>
        <w:bottom w:val="none" w:sz="0" w:space="0" w:color="auto"/>
        <w:right w:val="none" w:sz="0" w:space="0" w:color="auto"/>
      </w:divBdr>
    </w:div>
    <w:div w:id="1093428993">
      <w:bodyDiv w:val="1"/>
      <w:marLeft w:val="0"/>
      <w:marRight w:val="0"/>
      <w:marTop w:val="0"/>
      <w:marBottom w:val="0"/>
      <w:divBdr>
        <w:top w:val="none" w:sz="0" w:space="0" w:color="auto"/>
        <w:left w:val="none" w:sz="0" w:space="0" w:color="auto"/>
        <w:bottom w:val="none" w:sz="0" w:space="0" w:color="auto"/>
        <w:right w:val="none" w:sz="0" w:space="0" w:color="auto"/>
      </w:divBdr>
    </w:div>
    <w:div w:id="1100108350">
      <w:bodyDiv w:val="1"/>
      <w:marLeft w:val="0"/>
      <w:marRight w:val="0"/>
      <w:marTop w:val="0"/>
      <w:marBottom w:val="0"/>
      <w:divBdr>
        <w:top w:val="none" w:sz="0" w:space="0" w:color="auto"/>
        <w:left w:val="none" w:sz="0" w:space="0" w:color="auto"/>
        <w:bottom w:val="none" w:sz="0" w:space="0" w:color="auto"/>
        <w:right w:val="none" w:sz="0" w:space="0" w:color="auto"/>
      </w:divBdr>
    </w:div>
    <w:div w:id="1102145813">
      <w:bodyDiv w:val="1"/>
      <w:marLeft w:val="0"/>
      <w:marRight w:val="0"/>
      <w:marTop w:val="0"/>
      <w:marBottom w:val="0"/>
      <w:divBdr>
        <w:top w:val="none" w:sz="0" w:space="0" w:color="auto"/>
        <w:left w:val="none" w:sz="0" w:space="0" w:color="auto"/>
        <w:bottom w:val="none" w:sz="0" w:space="0" w:color="auto"/>
        <w:right w:val="none" w:sz="0" w:space="0" w:color="auto"/>
      </w:divBdr>
    </w:div>
    <w:div w:id="1131090756">
      <w:bodyDiv w:val="1"/>
      <w:marLeft w:val="0"/>
      <w:marRight w:val="0"/>
      <w:marTop w:val="0"/>
      <w:marBottom w:val="0"/>
      <w:divBdr>
        <w:top w:val="none" w:sz="0" w:space="0" w:color="auto"/>
        <w:left w:val="none" w:sz="0" w:space="0" w:color="auto"/>
        <w:bottom w:val="none" w:sz="0" w:space="0" w:color="auto"/>
        <w:right w:val="none" w:sz="0" w:space="0" w:color="auto"/>
      </w:divBdr>
    </w:div>
    <w:div w:id="1174492519">
      <w:bodyDiv w:val="1"/>
      <w:marLeft w:val="0"/>
      <w:marRight w:val="0"/>
      <w:marTop w:val="0"/>
      <w:marBottom w:val="0"/>
      <w:divBdr>
        <w:top w:val="none" w:sz="0" w:space="0" w:color="auto"/>
        <w:left w:val="none" w:sz="0" w:space="0" w:color="auto"/>
        <w:bottom w:val="none" w:sz="0" w:space="0" w:color="auto"/>
        <w:right w:val="none" w:sz="0" w:space="0" w:color="auto"/>
      </w:divBdr>
    </w:div>
    <w:div w:id="1190221389">
      <w:bodyDiv w:val="1"/>
      <w:marLeft w:val="0"/>
      <w:marRight w:val="0"/>
      <w:marTop w:val="0"/>
      <w:marBottom w:val="0"/>
      <w:divBdr>
        <w:top w:val="none" w:sz="0" w:space="0" w:color="auto"/>
        <w:left w:val="none" w:sz="0" w:space="0" w:color="auto"/>
        <w:bottom w:val="none" w:sz="0" w:space="0" w:color="auto"/>
        <w:right w:val="none" w:sz="0" w:space="0" w:color="auto"/>
      </w:divBdr>
    </w:div>
    <w:div w:id="1196506364">
      <w:bodyDiv w:val="1"/>
      <w:marLeft w:val="0"/>
      <w:marRight w:val="0"/>
      <w:marTop w:val="0"/>
      <w:marBottom w:val="0"/>
      <w:divBdr>
        <w:top w:val="none" w:sz="0" w:space="0" w:color="auto"/>
        <w:left w:val="none" w:sz="0" w:space="0" w:color="auto"/>
        <w:bottom w:val="none" w:sz="0" w:space="0" w:color="auto"/>
        <w:right w:val="none" w:sz="0" w:space="0" w:color="auto"/>
      </w:divBdr>
    </w:div>
    <w:div w:id="1217283088">
      <w:bodyDiv w:val="1"/>
      <w:marLeft w:val="0"/>
      <w:marRight w:val="0"/>
      <w:marTop w:val="0"/>
      <w:marBottom w:val="0"/>
      <w:divBdr>
        <w:top w:val="none" w:sz="0" w:space="0" w:color="auto"/>
        <w:left w:val="none" w:sz="0" w:space="0" w:color="auto"/>
        <w:bottom w:val="none" w:sz="0" w:space="0" w:color="auto"/>
        <w:right w:val="none" w:sz="0" w:space="0" w:color="auto"/>
      </w:divBdr>
    </w:div>
    <w:div w:id="1218853777">
      <w:bodyDiv w:val="1"/>
      <w:marLeft w:val="0"/>
      <w:marRight w:val="0"/>
      <w:marTop w:val="0"/>
      <w:marBottom w:val="0"/>
      <w:divBdr>
        <w:top w:val="none" w:sz="0" w:space="0" w:color="auto"/>
        <w:left w:val="none" w:sz="0" w:space="0" w:color="auto"/>
        <w:bottom w:val="none" w:sz="0" w:space="0" w:color="auto"/>
        <w:right w:val="none" w:sz="0" w:space="0" w:color="auto"/>
      </w:divBdr>
    </w:div>
    <w:div w:id="1220629652">
      <w:bodyDiv w:val="1"/>
      <w:marLeft w:val="0"/>
      <w:marRight w:val="0"/>
      <w:marTop w:val="0"/>
      <w:marBottom w:val="0"/>
      <w:divBdr>
        <w:top w:val="none" w:sz="0" w:space="0" w:color="auto"/>
        <w:left w:val="none" w:sz="0" w:space="0" w:color="auto"/>
        <w:bottom w:val="none" w:sz="0" w:space="0" w:color="auto"/>
        <w:right w:val="none" w:sz="0" w:space="0" w:color="auto"/>
      </w:divBdr>
    </w:div>
    <w:div w:id="1239822683">
      <w:bodyDiv w:val="1"/>
      <w:marLeft w:val="0"/>
      <w:marRight w:val="0"/>
      <w:marTop w:val="0"/>
      <w:marBottom w:val="0"/>
      <w:divBdr>
        <w:top w:val="none" w:sz="0" w:space="0" w:color="auto"/>
        <w:left w:val="none" w:sz="0" w:space="0" w:color="auto"/>
        <w:bottom w:val="none" w:sz="0" w:space="0" w:color="auto"/>
        <w:right w:val="none" w:sz="0" w:space="0" w:color="auto"/>
      </w:divBdr>
      <w:divsChild>
        <w:div w:id="1644650921">
          <w:marLeft w:val="0"/>
          <w:marRight w:val="0"/>
          <w:marTop w:val="0"/>
          <w:marBottom w:val="0"/>
          <w:divBdr>
            <w:top w:val="none" w:sz="0" w:space="0" w:color="auto"/>
            <w:left w:val="none" w:sz="0" w:space="0" w:color="auto"/>
            <w:bottom w:val="none" w:sz="0" w:space="0" w:color="auto"/>
            <w:right w:val="none" w:sz="0" w:space="0" w:color="auto"/>
          </w:divBdr>
        </w:div>
        <w:div w:id="830291000">
          <w:marLeft w:val="0"/>
          <w:marRight w:val="0"/>
          <w:marTop w:val="0"/>
          <w:marBottom w:val="0"/>
          <w:divBdr>
            <w:top w:val="none" w:sz="0" w:space="0" w:color="auto"/>
            <w:left w:val="none" w:sz="0" w:space="0" w:color="auto"/>
            <w:bottom w:val="none" w:sz="0" w:space="0" w:color="auto"/>
            <w:right w:val="none" w:sz="0" w:space="0" w:color="auto"/>
          </w:divBdr>
        </w:div>
        <w:div w:id="1270816605">
          <w:marLeft w:val="0"/>
          <w:marRight w:val="0"/>
          <w:marTop w:val="0"/>
          <w:marBottom w:val="0"/>
          <w:divBdr>
            <w:top w:val="none" w:sz="0" w:space="0" w:color="auto"/>
            <w:left w:val="none" w:sz="0" w:space="0" w:color="auto"/>
            <w:bottom w:val="none" w:sz="0" w:space="0" w:color="auto"/>
            <w:right w:val="none" w:sz="0" w:space="0" w:color="auto"/>
          </w:divBdr>
        </w:div>
      </w:divsChild>
    </w:div>
    <w:div w:id="1293294139">
      <w:bodyDiv w:val="1"/>
      <w:marLeft w:val="0"/>
      <w:marRight w:val="0"/>
      <w:marTop w:val="0"/>
      <w:marBottom w:val="0"/>
      <w:divBdr>
        <w:top w:val="none" w:sz="0" w:space="0" w:color="auto"/>
        <w:left w:val="none" w:sz="0" w:space="0" w:color="auto"/>
        <w:bottom w:val="none" w:sz="0" w:space="0" w:color="auto"/>
        <w:right w:val="none" w:sz="0" w:space="0" w:color="auto"/>
      </w:divBdr>
    </w:div>
    <w:div w:id="1294098042">
      <w:bodyDiv w:val="1"/>
      <w:marLeft w:val="0"/>
      <w:marRight w:val="0"/>
      <w:marTop w:val="0"/>
      <w:marBottom w:val="0"/>
      <w:divBdr>
        <w:top w:val="none" w:sz="0" w:space="0" w:color="auto"/>
        <w:left w:val="none" w:sz="0" w:space="0" w:color="auto"/>
        <w:bottom w:val="none" w:sz="0" w:space="0" w:color="auto"/>
        <w:right w:val="none" w:sz="0" w:space="0" w:color="auto"/>
      </w:divBdr>
    </w:div>
    <w:div w:id="1296061794">
      <w:bodyDiv w:val="1"/>
      <w:marLeft w:val="0"/>
      <w:marRight w:val="0"/>
      <w:marTop w:val="0"/>
      <w:marBottom w:val="0"/>
      <w:divBdr>
        <w:top w:val="none" w:sz="0" w:space="0" w:color="auto"/>
        <w:left w:val="none" w:sz="0" w:space="0" w:color="auto"/>
        <w:bottom w:val="none" w:sz="0" w:space="0" w:color="auto"/>
        <w:right w:val="none" w:sz="0" w:space="0" w:color="auto"/>
      </w:divBdr>
    </w:div>
    <w:div w:id="1307854288">
      <w:bodyDiv w:val="1"/>
      <w:marLeft w:val="0"/>
      <w:marRight w:val="0"/>
      <w:marTop w:val="0"/>
      <w:marBottom w:val="0"/>
      <w:divBdr>
        <w:top w:val="none" w:sz="0" w:space="0" w:color="auto"/>
        <w:left w:val="none" w:sz="0" w:space="0" w:color="auto"/>
        <w:bottom w:val="none" w:sz="0" w:space="0" w:color="auto"/>
        <w:right w:val="none" w:sz="0" w:space="0" w:color="auto"/>
      </w:divBdr>
    </w:div>
    <w:div w:id="1307927470">
      <w:bodyDiv w:val="1"/>
      <w:marLeft w:val="0"/>
      <w:marRight w:val="0"/>
      <w:marTop w:val="0"/>
      <w:marBottom w:val="0"/>
      <w:divBdr>
        <w:top w:val="none" w:sz="0" w:space="0" w:color="auto"/>
        <w:left w:val="none" w:sz="0" w:space="0" w:color="auto"/>
        <w:bottom w:val="none" w:sz="0" w:space="0" w:color="auto"/>
        <w:right w:val="none" w:sz="0" w:space="0" w:color="auto"/>
      </w:divBdr>
    </w:div>
    <w:div w:id="1322195667">
      <w:bodyDiv w:val="1"/>
      <w:marLeft w:val="0"/>
      <w:marRight w:val="0"/>
      <w:marTop w:val="0"/>
      <w:marBottom w:val="0"/>
      <w:divBdr>
        <w:top w:val="none" w:sz="0" w:space="0" w:color="auto"/>
        <w:left w:val="none" w:sz="0" w:space="0" w:color="auto"/>
        <w:bottom w:val="none" w:sz="0" w:space="0" w:color="auto"/>
        <w:right w:val="none" w:sz="0" w:space="0" w:color="auto"/>
      </w:divBdr>
    </w:div>
    <w:div w:id="1382710296">
      <w:bodyDiv w:val="1"/>
      <w:marLeft w:val="0"/>
      <w:marRight w:val="0"/>
      <w:marTop w:val="0"/>
      <w:marBottom w:val="0"/>
      <w:divBdr>
        <w:top w:val="none" w:sz="0" w:space="0" w:color="auto"/>
        <w:left w:val="none" w:sz="0" w:space="0" w:color="auto"/>
        <w:bottom w:val="none" w:sz="0" w:space="0" w:color="auto"/>
        <w:right w:val="none" w:sz="0" w:space="0" w:color="auto"/>
      </w:divBdr>
    </w:div>
    <w:div w:id="1411073217">
      <w:bodyDiv w:val="1"/>
      <w:marLeft w:val="0"/>
      <w:marRight w:val="0"/>
      <w:marTop w:val="0"/>
      <w:marBottom w:val="0"/>
      <w:divBdr>
        <w:top w:val="none" w:sz="0" w:space="0" w:color="auto"/>
        <w:left w:val="none" w:sz="0" w:space="0" w:color="auto"/>
        <w:bottom w:val="none" w:sz="0" w:space="0" w:color="auto"/>
        <w:right w:val="none" w:sz="0" w:space="0" w:color="auto"/>
      </w:divBdr>
    </w:div>
    <w:div w:id="1456943945">
      <w:bodyDiv w:val="1"/>
      <w:marLeft w:val="0"/>
      <w:marRight w:val="0"/>
      <w:marTop w:val="0"/>
      <w:marBottom w:val="0"/>
      <w:divBdr>
        <w:top w:val="none" w:sz="0" w:space="0" w:color="auto"/>
        <w:left w:val="none" w:sz="0" w:space="0" w:color="auto"/>
        <w:bottom w:val="none" w:sz="0" w:space="0" w:color="auto"/>
        <w:right w:val="none" w:sz="0" w:space="0" w:color="auto"/>
      </w:divBdr>
    </w:div>
    <w:div w:id="1471360359">
      <w:bodyDiv w:val="1"/>
      <w:marLeft w:val="0"/>
      <w:marRight w:val="0"/>
      <w:marTop w:val="0"/>
      <w:marBottom w:val="0"/>
      <w:divBdr>
        <w:top w:val="none" w:sz="0" w:space="0" w:color="auto"/>
        <w:left w:val="none" w:sz="0" w:space="0" w:color="auto"/>
        <w:bottom w:val="none" w:sz="0" w:space="0" w:color="auto"/>
        <w:right w:val="none" w:sz="0" w:space="0" w:color="auto"/>
      </w:divBdr>
    </w:div>
    <w:div w:id="1473865054">
      <w:bodyDiv w:val="1"/>
      <w:marLeft w:val="0"/>
      <w:marRight w:val="0"/>
      <w:marTop w:val="0"/>
      <w:marBottom w:val="0"/>
      <w:divBdr>
        <w:top w:val="none" w:sz="0" w:space="0" w:color="auto"/>
        <w:left w:val="none" w:sz="0" w:space="0" w:color="auto"/>
        <w:bottom w:val="none" w:sz="0" w:space="0" w:color="auto"/>
        <w:right w:val="none" w:sz="0" w:space="0" w:color="auto"/>
      </w:divBdr>
      <w:divsChild>
        <w:div w:id="1330862672">
          <w:marLeft w:val="0"/>
          <w:marRight w:val="0"/>
          <w:marTop w:val="0"/>
          <w:marBottom w:val="0"/>
          <w:divBdr>
            <w:top w:val="none" w:sz="0" w:space="0" w:color="auto"/>
            <w:left w:val="none" w:sz="0" w:space="0" w:color="auto"/>
            <w:bottom w:val="none" w:sz="0" w:space="0" w:color="auto"/>
            <w:right w:val="none" w:sz="0" w:space="0" w:color="auto"/>
          </w:divBdr>
        </w:div>
      </w:divsChild>
    </w:div>
    <w:div w:id="1481654054">
      <w:bodyDiv w:val="1"/>
      <w:marLeft w:val="0"/>
      <w:marRight w:val="0"/>
      <w:marTop w:val="0"/>
      <w:marBottom w:val="0"/>
      <w:divBdr>
        <w:top w:val="none" w:sz="0" w:space="0" w:color="auto"/>
        <w:left w:val="none" w:sz="0" w:space="0" w:color="auto"/>
        <w:bottom w:val="none" w:sz="0" w:space="0" w:color="auto"/>
        <w:right w:val="none" w:sz="0" w:space="0" w:color="auto"/>
      </w:divBdr>
    </w:div>
    <w:div w:id="1486628707">
      <w:bodyDiv w:val="1"/>
      <w:marLeft w:val="0"/>
      <w:marRight w:val="0"/>
      <w:marTop w:val="0"/>
      <w:marBottom w:val="0"/>
      <w:divBdr>
        <w:top w:val="none" w:sz="0" w:space="0" w:color="auto"/>
        <w:left w:val="none" w:sz="0" w:space="0" w:color="auto"/>
        <w:bottom w:val="none" w:sz="0" w:space="0" w:color="auto"/>
        <w:right w:val="none" w:sz="0" w:space="0" w:color="auto"/>
      </w:divBdr>
      <w:divsChild>
        <w:div w:id="1645357037">
          <w:marLeft w:val="0"/>
          <w:marRight w:val="0"/>
          <w:marTop w:val="0"/>
          <w:marBottom w:val="0"/>
          <w:divBdr>
            <w:top w:val="none" w:sz="0" w:space="0" w:color="auto"/>
            <w:left w:val="none" w:sz="0" w:space="0" w:color="auto"/>
            <w:bottom w:val="none" w:sz="0" w:space="0" w:color="auto"/>
            <w:right w:val="none" w:sz="0" w:space="0" w:color="auto"/>
          </w:divBdr>
          <w:divsChild>
            <w:div w:id="1058360885">
              <w:marLeft w:val="0"/>
              <w:marRight w:val="0"/>
              <w:marTop w:val="0"/>
              <w:marBottom w:val="0"/>
              <w:divBdr>
                <w:top w:val="none" w:sz="0" w:space="0" w:color="auto"/>
                <w:left w:val="none" w:sz="0" w:space="0" w:color="auto"/>
                <w:bottom w:val="none" w:sz="0" w:space="0" w:color="auto"/>
                <w:right w:val="none" w:sz="0" w:space="0" w:color="auto"/>
              </w:divBdr>
            </w:div>
          </w:divsChild>
        </w:div>
        <w:div w:id="1181553631">
          <w:marLeft w:val="0"/>
          <w:marRight w:val="0"/>
          <w:marTop w:val="0"/>
          <w:marBottom w:val="0"/>
          <w:divBdr>
            <w:top w:val="none" w:sz="0" w:space="0" w:color="auto"/>
            <w:left w:val="none" w:sz="0" w:space="0" w:color="auto"/>
            <w:bottom w:val="none" w:sz="0" w:space="0" w:color="auto"/>
            <w:right w:val="none" w:sz="0" w:space="0" w:color="auto"/>
          </w:divBdr>
        </w:div>
      </w:divsChild>
    </w:div>
    <w:div w:id="1533106593">
      <w:bodyDiv w:val="1"/>
      <w:marLeft w:val="0"/>
      <w:marRight w:val="0"/>
      <w:marTop w:val="0"/>
      <w:marBottom w:val="0"/>
      <w:divBdr>
        <w:top w:val="none" w:sz="0" w:space="0" w:color="auto"/>
        <w:left w:val="none" w:sz="0" w:space="0" w:color="auto"/>
        <w:bottom w:val="none" w:sz="0" w:space="0" w:color="auto"/>
        <w:right w:val="none" w:sz="0" w:space="0" w:color="auto"/>
      </w:divBdr>
    </w:div>
    <w:div w:id="1535919232">
      <w:bodyDiv w:val="1"/>
      <w:marLeft w:val="0"/>
      <w:marRight w:val="0"/>
      <w:marTop w:val="0"/>
      <w:marBottom w:val="0"/>
      <w:divBdr>
        <w:top w:val="none" w:sz="0" w:space="0" w:color="auto"/>
        <w:left w:val="none" w:sz="0" w:space="0" w:color="auto"/>
        <w:bottom w:val="none" w:sz="0" w:space="0" w:color="auto"/>
        <w:right w:val="none" w:sz="0" w:space="0" w:color="auto"/>
      </w:divBdr>
    </w:div>
    <w:div w:id="1537500655">
      <w:bodyDiv w:val="1"/>
      <w:marLeft w:val="0"/>
      <w:marRight w:val="0"/>
      <w:marTop w:val="0"/>
      <w:marBottom w:val="0"/>
      <w:divBdr>
        <w:top w:val="none" w:sz="0" w:space="0" w:color="auto"/>
        <w:left w:val="none" w:sz="0" w:space="0" w:color="auto"/>
        <w:bottom w:val="none" w:sz="0" w:space="0" w:color="auto"/>
        <w:right w:val="none" w:sz="0" w:space="0" w:color="auto"/>
      </w:divBdr>
    </w:div>
    <w:div w:id="1543906318">
      <w:bodyDiv w:val="1"/>
      <w:marLeft w:val="0"/>
      <w:marRight w:val="0"/>
      <w:marTop w:val="0"/>
      <w:marBottom w:val="0"/>
      <w:divBdr>
        <w:top w:val="none" w:sz="0" w:space="0" w:color="auto"/>
        <w:left w:val="none" w:sz="0" w:space="0" w:color="auto"/>
        <w:bottom w:val="none" w:sz="0" w:space="0" w:color="auto"/>
        <w:right w:val="none" w:sz="0" w:space="0" w:color="auto"/>
      </w:divBdr>
    </w:div>
    <w:div w:id="1547991016">
      <w:bodyDiv w:val="1"/>
      <w:marLeft w:val="0"/>
      <w:marRight w:val="0"/>
      <w:marTop w:val="0"/>
      <w:marBottom w:val="0"/>
      <w:divBdr>
        <w:top w:val="none" w:sz="0" w:space="0" w:color="auto"/>
        <w:left w:val="none" w:sz="0" w:space="0" w:color="auto"/>
        <w:bottom w:val="none" w:sz="0" w:space="0" w:color="auto"/>
        <w:right w:val="none" w:sz="0" w:space="0" w:color="auto"/>
      </w:divBdr>
    </w:div>
    <w:div w:id="1551190208">
      <w:bodyDiv w:val="1"/>
      <w:marLeft w:val="0"/>
      <w:marRight w:val="0"/>
      <w:marTop w:val="0"/>
      <w:marBottom w:val="0"/>
      <w:divBdr>
        <w:top w:val="none" w:sz="0" w:space="0" w:color="auto"/>
        <w:left w:val="none" w:sz="0" w:space="0" w:color="auto"/>
        <w:bottom w:val="none" w:sz="0" w:space="0" w:color="auto"/>
        <w:right w:val="none" w:sz="0" w:space="0" w:color="auto"/>
      </w:divBdr>
    </w:div>
    <w:div w:id="1561862122">
      <w:bodyDiv w:val="1"/>
      <w:marLeft w:val="0"/>
      <w:marRight w:val="0"/>
      <w:marTop w:val="0"/>
      <w:marBottom w:val="0"/>
      <w:divBdr>
        <w:top w:val="none" w:sz="0" w:space="0" w:color="auto"/>
        <w:left w:val="none" w:sz="0" w:space="0" w:color="auto"/>
        <w:bottom w:val="none" w:sz="0" w:space="0" w:color="auto"/>
        <w:right w:val="none" w:sz="0" w:space="0" w:color="auto"/>
      </w:divBdr>
    </w:div>
    <w:div w:id="1573393570">
      <w:bodyDiv w:val="1"/>
      <w:marLeft w:val="0"/>
      <w:marRight w:val="0"/>
      <w:marTop w:val="0"/>
      <w:marBottom w:val="0"/>
      <w:divBdr>
        <w:top w:val="none" w:sz="0" w:space="0" w:color="auto"/>
        <w:left w:val="none" w:sz="0" w:space="0" w:color="auto"/>
        <w:bottom w:val="none" w:sz="0" w:space="0" w:color="auto"/>
        <w:right w:val="none" w:sz="0" w:space="0" w:color="auto"/>
      </w:divBdr>
    </w:div>
    <w:div w:id="1577059135">
      <w:bodyDiv w:val="1"/>
      <w:marLeft w:val="0"/>
      <w:marRight w:val="0"/>
      <w:marTop w:val="0"/>
      <w:marBottom w:val="0"/>
      <w:divBdr>
        <w:top w:val="none" w:sz="0" w:space="0" w:color="auto"/>
        <w:left w:val="none" w:sz="0" w:space="0" w:color="auto"/>
        <w:bottom w:val="none" w:sz="0" w:space="0" w:color="auto"/>
        <w:right w:val="none" w:sz="0" w:space="0" w:color="auto"/>
      </w:divBdr>
    </w:div>
    <w:div w:id="1597713220">
      <w:bodyDiv w:val="1"/>
      <w:marLeft w:val="0"/>
      <w:marRight w:val="0"/>
      <w:marTop w:val="0"/>
      <w:marBottom w:val="0"/>
      <w:divBdr>
        <w:top w:val="none" w:sz="0" w:space="0" w:color="auto"/>
        <w:left w:val="none" w:sz="0" w:space="0" w:color="auto"/>
        <w:bottom w:val="none" w:sz="0" w:space="0" w:color="auto"/>
        <w:right w:val="none" w:sz="0" w:space="0" w:color="auto"/>
      </w:divBdr>
    </w:div>
    <w:div w:id="1608077323">
      <w:bodyDiv w:val="1"/>
      <w:marLeft w:val="0"/>
      <w:marRight w:val="0"/>
      <w:marTop w:val="0"/>
      <w:marBottom w:val="0"/>
      <w:divBdr>
        <w:top w:val="none" w:sz="0" w:space="0" w:color="auto"/>
        <w:left w:val="none" w:sz="0" w:space="0" w:color="auto"/>
        <w:bottom w:val="none" w:sz="0" w:space="0" w:color="auto"/>
        <w:right w:val="none" w:sz="0" w:space="0" w:color="auto"/>
      </w:divBdr>
      <w:divsChild>
        <w:div w:id="384377861">
          <w:marLeft w:val="0"/>
          <w:marRight w:val="0"/>
          <w:marTop w:val="0"/>
          <w:marBottom w:val="0"/>
          <w:divBdr>
            <w:top w:val="none" w:sz="0" w:space="0" w:color="auto"/>
            <w:left w:val="none" w:sz="0" w:space="0" w:color="auto"/>
            <w:bottom w:val="none" w:sz="0" w:space="0" w:color="auto"/>
            <w:right w:val="none" w:sz="0" w:space="0" w:color="auto"/>
          </w:divBdr>
        </w:div>
      </w:divsChild>
    </w:div>
    <w:div w:id="1611011385">
      <w:bodyDiv w:val="1"/>
      <w:marLeft w:val="0"/>
      <w:marRight w:val="0"/>
      <w:marTop w:val="0"/>
      <w:marBottom w:val="0"/>
      <w:divBdr>
        <w:top w:val="none" w:sz="0" w:space="0" w:color="auto"/>
        <w:left w:val="none" w:sz="0" w:space="0" w:color="auto"/>
        <w:bottom w:val="none" w:sz="0" w:space="0" w:color="auto"/>
        <w:right w:val="none" w:sz="0" w:space="0" w:color="auto"/>
      </w:divBdr>
      <w:divsChild>
        <w:div w:id="2047368801">
          <w:marLeft w:val="0"/>
          <w:marRight w:val="0"/>
          <w:marTop w:val="0"/>
          <w:marBottom w:val="0"/>
          <w:divBdr>
            <w:top w:val="none" w:sz="0" w:space="0" w:color="auto"/>
            <w:left w:val="none" w:sz="0" w:space="0" w:color="auto"/>
            <w:bottom w:val="none" w:sz="0" w:space="0" w:color="auto"/>
            <w:right w:val="none" w:sz="0" w:space="0" w:color="auto"/>
          </w:divBdr>
          <w:divsChild>
            <w:div w:id="1452087120">
              <w:marLeft w:val="0"/>
              <w:marRight w:val="0"/>
              <w:marTop w:val="0"/>
              <w:marBottom w:val="0"/>
              <w:divBdr>
                <w:top w:val="none" w:sz="0" w:space="0" w:color="auto"/>
                <w:left w:val="none" w:sz="0" w:space="0" w:color="auto"/>
                <w:bottom w:val="none" w:sz="0" w:space="0" w:color="auto"/>
                <w:right w:val="none" w:sz="0" w:space="0" w:color="auto"/>
              </w:divBdr>
              <w:divsChild>
                <w:div w:id="1302538599">
                  <w:marLeft w:val="0"/>
                  <w:marRight w:val="0"/>
                  <w:marTop w:val="0"/>
                  <w:marBottom w:val="0"/>
                  <w:divBdr>
                    <w:top w:val="none" w:sz="0" w:space="0" w:color="auto"/>
                    <w:left w:val="none" w:sz="0" w:space="0" w:color="auto"/>
                    <w:bottom w:val="none" w:sz="0" w:space="0" w:color="auto"/>
                    <w:right w:val="none" w:sz="0" w:space="0" w:color="auto"/>
                  </w:divBdr>
                  <w:divsChild>
                    <w:div w:id="6320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95476">
      <w:bodyDiv w:val="1"/>
      <w:marLeft w:val="0"/>
      <w:marRight w:val="0"/>
      <w:marTop w:val="0"/>
      <w:marBottom w:val="0"/>
      <w:divBdr>
        <w:top w:val="none" w:sz="0" w:space="0" w:color="auto"/>
        <w:left w:val="none" w:sz="0" w:space="0" w:color="auto"/>
        <w:bottom w:val="none" w:sz="0" w:space="0" w:color="auto"/>
        <w:right w:val="none" w:sz="0" w:space="0" w:color="auto"/>
      </w:divBdr>
    </w:div>
    <w:div w:id="1623732925">
      <w:bodyDiv w:val="1"/>
      <w:marLeft w:val="0"/>
      <w:marRight w:val="0"/>
      <w:marTop w:val="0"/>
      <w:marBottom w:val="0"/>
      <w:divBdr>
        <w:top w:val="none" w:sz="0" w:space="0" w:color="auto"/>
        <w:left w:val="none" w:sz="0" w:space="0" w:color="auto"/>
        <w:bottom w:val="none" w:sz="0" w:space="0" w:color="auto"/>
        <w:right w:val="none" w:sz="0" w:space="0" w:color="auto"/>
      </w:divBdr>
    </w:div>
    <w:div w:id="1627930608">
      <w:bodyDiv w:val="1"/>
      <w:marLeft w:val="0"/>
      <w:marRight w:val="0"/>
      <w:marTop w:val="0"/>
      <w:marBottom w:val="0"/>
      <w:divBdr>
        <w:top w:val="none" w:sz="0" w:space="0" w:color="auto"/>
        <w:left w:val="none" w:sz="0" w:space="0" w:color="auto"/>
        <w:bottom w:val="none" w:sz="0" w:space="0" w:color="auto"/>
        <w:right w:val="none" w:sz="0" w:space="0" w:color="auto"/>
      </w:divBdr>
    </w:div>
    <w:div w:id="1697392323">
      <w:bodyDiv w:val="1"/>
      <w:marLeft w:val="0"/>
      <w:marRight w:val="0"/>
      <w:marTop w:val="0"/>
      <w:marBottom w:val="0"/>
      <w:divBdr>
        <w:top w:val="none" w:sz="0" w:space="0" w:color="auto"/>
        <w:left w:val="none" w:sz="0" w:space="0" w:color="auto"/>
        <w:bottom w:val="none" w:sz="0" w:space="0" w:color="auto"/>
        <w:right w:val="none" w:sz="0" w:space="0" w:color="auto"/>
      </w:divBdr>
    </w:div>
    <w:div w:id="1738825095">
      <w:bodyDiv w:val="1"/>
      <w:marLeft w:val="0"/>
      <w:marRight w:val="0"/>
      <w:marTop w:val="0"/>
      <w:marBottom w:val="0"/>
      <w:divBdr>
        <w:top w:val="none" w:sz="0" w:space="0" w:color="auto"/>
        <w:left w:val="none" w:sz="0" w:space="0" w:color="auto"/>
        <w:bottom w:val="none" w:sz="0" w:space="0" w:color="auto"/>
        <w:right w:val="none" w:sz="0" w:space="0" w:color="auto"/>
      </w:divBdr>
    </w:div>
    <w:div w:id="1740207014">
      <w:bodyDiv w:val="1"/>
      <w:marLeft w:val="0"/>
      <w:marRight w:val="0"/>
      <w:marTop w:val="0"/>
      <w:marBottom w:val="0"/>
      <w:divBdr>
        <w:top w:val="none" w:sz="0" w:space="0" w:color="auto"/>
        <w:left w:val="none" w:sz="0" w:space="0" w:color="auto"/>
        <w:bottom w:val="none" w:sz="0" w:space="0" w:color="auto"/>
        <w:right w:val="none" w:sz="0" w:space="0" w:color="auto"/>
      </w:divBdr>
    </w:div>
    <w:div w:id="1745226856">
      <w:bodyDiv w:val="1"/>
      <w:marLeft w:val="0"/>
      <w:marRight w:val="0"/>
      <w:marTop w:val="0"/>
      <w:marBottom w:val="0"/>
      <w:divBdr>
        <w:top w:val="none" w:sz="0" w:space="0" w:color="auto"/>
        <w:left w:val="none" w:sz="0" w:space="0" w:color="auto"/>
        <w:bottom w:val="none" w:sz="0" w:space="0" w:color="auto"/>
        <w:right w:val="none" w:sz="0" w:space="0" w:color="auto"/>
      </w:divBdr>
    </w:div>
    <w:div w:id="1747261288">
      <w:bodyDiv w:val="1"/>
      <w:marLeft w:val="0"/>
      <w:marRight w:val="0"/>
      <w:marTop w:val="0"/>
      <w:marBottom w:val="0"/>
      <w:divBdr>
        <w:top w:val="none" w:sz="0" w:space="0" w:color="auto"/>
        <w:left w:val="none" w:sz="0" w:space="0" w:color="auto"/>
        <w:bottom w:val="none" w:sz="0" w:space="0" w:color="auto"/>
        <w:right w:val="none" w:sz="0" w:space="0" w:color="auto"/>
      </w:divBdr>
    </w:div>
    <w:div w:id="1749500869">
      <w:bodyDiv w:val="1"/>
      <w:marLeft w:val="0"/>
      <w:marRight w:val="0"/>
      <w:marTop w:val="0"/>
      <w:marBottom w:val="0"/>
      <w:divBdr>
        <w:top w:val="none" w:sz="0" w:space="0" w:color="auto"/>
        <w:left w:val="none" w:sz="0" w:space="0" w:color="auto"/>
        <w:bottom w:val="none" w:sz="0" w:space="0" w:color="auto"/>
        <w:right w:val="none" w:sz="0" w:space="0" w:color="auto"/>
      </w:divBdr>
    </w:div>
    <w:div w:id="1779791325">
      <w:bodyDiv w:val="1"/>
      <w:marLeft w:val="0"/>
      <w:marRight w:val="0"/>
      <w:marTop w:val="0"/>
      <w:marBottom w:val="0"/>
      <w:divBdr>
        <w:top w:val="none" w:sz="0" w:space="0" w:color="auto"/>
        <w:left w:val="none" w:sz="0" w:space="0" w:color="auto"/>
        <w:bottom w:val="none" w:sz="0" w:space="0" w:color="auto"/>
        <w:right w:val="none" w:sz="0" w:space="0" w:color="auto"/>
      </w:divBdr>
      <w:divsChild>
        <w:div w:id="661351161">
          <w:marLeft w:val="0"/>
          <w:marRight w:val="0"/>
          <w:marTop w:val="0"/>
          <w:marBottom w:val="0"/>
          <w:divBdr>
            <w:top w:val="none" w:sz="0" w:space="0" w:color="auto"/>
            <w:left w:val="none" w:sz="0" w:space="0" w:color="auto"/>
            <w:bottom w:val="none" w:sz="0" w:space="0" w:color="auto"/>
            <w:right w:val="none" w:sz="0" w:space="0" w:color="auto"/>
          </w:divBdr>
        </w:div>
        <w:div w:id="1760439558">
          <w:marLeft w:val="0"/>
          <w:marRight w:val="0"/>
          <w:marTop w:val="0"/>
          <w:marBottom w:val="0"/>
          <w:divBdr>
            <w:top w:val="none" w:sz="0" w:space="0" w:color="auto"/>
            <w:left w:val="none" w:sz="0" w:space="0" w:color="auto"/>
            <w:bottom w:val="none" w:sz="0" w:space="0" w:color="auto"/>
            <w:right w:val="none" w:sz="0" w:space="0" w:color="auto"/>
          </w:divBdr>
        </w:div>
        <w:div w:id="1231885052">
          <w:marLeft w:val="0"/>
          <w:marRight w:val="0"/>
          <w:marTop w:val="0"/>
          <w:marBottom w:val="0"/>
          <w:divBdr>
            <w:top w:val="none" w:sz="0" w:space="0" w:color="auto"/>
            <w:left w:val="none" w:sz="0" w:space="0" w:color="auto"/>
            <w:bottom w:val="none" w:sz="0" w:space="0" w:color="auto"/>
            <w:right w:val="none" w:sz="0" w:space="0" w:color="auto"/>
          </w:divBdr>
        </w:div>
      </w:divsChild>
    </w:div>
    <w:div w:id="1782143789">
      <w:bodyDiv w:val="1"/>
      <w:marLeft w:val="0"/>
      <w:marRight w:val="0"/>
      <w:marTop w:val="0"/>
      <w:marBottom w:val="0"/>
      <w:divBdr>
        <w:top w:val="none" w:sz="0" w:space="0" w:color="auto"/>
        <w:left w:val="none" w:sz="0" w:space="0" w:color="auto"/>
        <w:bottom w:val="none" w:sz="0" w:space="0" w:color="auto"/>
        <w:right w:val="none" w:sz="0" w:space="0" w:color="auto"/>
      </w:divBdr>
    </w:div>
    <w:div w:id="1790855586">
      <w:bodyDiv w:val="1"/>
      <w:marLeft w:val="0"/>
      <w:marRight w:val="0"/>
      <w:marTop w:val="0"/>
      <w:marBottom w:val="0"/>
      <w:divBdr>
        <w:top w:val="none" w:sz="0" w:space="0" w:color="auto"/>
        <w:left w:val="none" w:sz="0" w:space="0" w:color="auto"/>
        <w:bottom w:val="none" w:sz="0" w:space="0" w:color="auto"/>
        <w:right w:val="none" w:sz="0" w:space="0" w:color="auto"/>
      </w:divBdr>
      <w:divsChild>
        <w:div w:id="1186671121">
          <w:marLeft w:val="0"/>
          <w:marRight w:val="0"/>
          <w:marTop w:val="0"/>
          <w:marBottom w:val="0"/>
          <w:divBdr>
            <w:top w:val="none" w:sz="0" w:space="0" w:color="auto"/>
            <w:left w:val="none" w:sz="0" w:space="0" w:color="auto"/>
            <w:bottom w:val="none" w:sz="0" w:space="0" w:color="auto"/>
            <w:right w:val="none" w:sz="0" w:space="0" w:color="auto"/>
          </w:divBdr>
          <w:divsChild>
            <w:div w:id="204914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7880">
      <w:bodyDiv w:val="1"/>
      <w:marLeft w:val="0"/>
      <w:marRight w:val="0"/>
      <w:marTop w:val="0"/>
      <w:marBottom w:val="0"/>
      <w:divBdr>
        <w:top w:val="none" w:sz="0" w:space="0" w:color="auto"/>
        <w:left w:val="none" w:sz="0" w:space="0" w:color="auto"/>
        <w:bottom w:val="none" w:sz="0" w:space="0" w:color="auto"/>
        <w:right w:val="none" w:sz="0" w:space="0" w:color="auto"/>
      </w:divBdr>
    </w:div>
    <w:div w:id="1809669200">
      <w:bodyDiv w:val="1"/>
      <w:marLeft w:val="0"/>
      <w:marRight w:val="0"/>
      <w:marTop w:val="0"/>
      <w:marBottom w:val="0"/>
      <w:divBdr>
        <w:top w:val="none" w:sz="0" w:space="0" w:color="auto"/>
        <w:left w:val="none" w:sz="0" w:space="0" w:color="auto"/>
        <w:bottom w:val="none" w:sz="0" w:space="0" w:color="auto"/>
        <w:right w:val="none" w:sz="0" w:space="0" w:color="auto"/>
      </w:divBdr>
    </w:div>
    <w:div w:id="1823231140">
      <w:bodyDiv w:val="1"/>
      <w:marLeft w:val="0"/>
      <w:marRight w:val="0"/>
      <w:marTop w:val="0"/>
      <w:marBottom w:val="0"/>
      <w:divBdr>
        <w:top w:val="none" w:sz="0" w:space="0" w:color="auto"/>
        <w:left w:val="none" w:sz="0" w:space="0" w:color="auto"/>
        <w:bottom w:val="none" w:sz="0" w:space="0" w:color="auto"/>
        <w:right w:val="none" w:sz="0" w:space="0" w:color="auto"/>
      </w:divBdr>
    </w:div>
    <w:div w:id="1867714374">
      <w:bodyDiv w:val="1"/>
      <w:marLeft w:val="0"/>
      <w:marRight w:val="0"/>
      <w:marTop w:val="0"/>
      <w:marBottom w:val="0"/>
      <w:divBdr>
        <w:top w:val="none" w:sz="0" w:space="0" w:color="auto"/>
        <w:left w:val="none" w:sz="0" w:space="0" w:color="auto"/>
        <w:bottom w:val="none" w:sz="0" w:space="0" w:color="auto"/>
        <w:right w:val="none" w:sz="0" w:space="0" w:color="auto"/>
      </w:divBdr>
    </w:div>
    <w:div w:id="1868441836">
      <w:bodyDiv w:val="1"/>
      <w:marLeft w:val="0"/>
      <w:marRight w:val="0"/>
      <w:marTop w:val="0"/>
      <w:marBottom w:val="0"/>
      <w:divBdr>
        <w:top w:val="none" w:sz="0" w:space="0" w:color="auto"/>
        <w:left w:val="none" w:sz="0" w:space="0" w:color="auto"/>
        <w:bottom w:val="none" w:sz="0" w:space="0" w:color="auto"/>
        <w:right w:val="none" w:sz="0" w:space="0" w:color="auto"/>
      </w:divBdr>
    </w:div>
    <w:div w:id="1869683739">
      <w:bodyDiv w:val="1"/>
      <w:marLeft w:val="0"/>
      <w:marRight w:val="0"/>
      <w:marTop w:val="0"/>
      <w:marBottom w:val="0"/>
      <w:divBdr>
        <w:top w:val="none" w:sz="0" w:space="0" w:color="auto"/>
        <w:left w:val="none" w:sz="0" w:space="0" w:color="auto"/>
        <w:bottom w:val="none" w:sz="0" w:space="0" w:color="auto"/>
        <w:right w:val="none" w:sz="0" w:space="0" w:color="auto"/>
      </w:divBdr>
    </w:div>
    <w:div w:id="1899633745">
      <w:bodyDiv w:val="1"/>
      <w:marLeft w:val="0"/>
      <w:marRight w:val="0"/>
      <w:marTop w:val="0"/>
      <w:marBottom w:val="0"/>
      <w:divBdr>
        <w:top w:val="none" w:sz="0" w:space="0" w:color="auto"/>
        <w:left w:val="none" w:sz="0" w:space="0" w:color="auto"/>
        <w:bottom w:val="none" w:sz="0" w:space="0" w:color="auto"/>
        <w:right w:val="none" w:sz="0" w:space="0" w:color="auto"/>
      </w:divBdr>
    </w:div>
    <w:div w:id="1916469720">
      <w:bodyDiv w:val="1"/>
      <w:marLeft w:val="0"/>
      <w:marRight w:val="0"/>
      <w:marTop w:val="0"/>
      <w:marBottom w:val="0"/>
      <w:divBdr>
        <w:top w:val="none" w:sz="0" w:space="0" w:color="auto"/>
        <w:left w:val="none" w:sz="0" w:space="0" w:color="auto"/>
        <w:bottom w:val="none" w:sz="0" w:space="0" w:color="auto"/>
        <w:right w:val="none" w:sz="0" w:space="0" w:color="auto"/>
      </w:divBdr>
    </w:div>
    <w:div w:id="1935548086">
      <w:bodyDiv w:val="1"/>
      <w:marLeft w:val="0"/>
      <w:marRight w:val="0"/>
      <w:marTop w:val="0"/>
      <w:marBottom w:val="0"/>
      <w:divBdr>
        <w:top w:val="none" w:sz="0" w:space="0" w:color="auto"/>
        <w:left w:val="none" w:sz="0" w:space="0" w:color="auto"/>
        <w:bottom w:val="none" w:sz="0" w:space="0" w:color="auto"/>
        <w:right w:val="none" w:sz="0" w:space="0" w:color="auto"/>
      </w:divBdr>
    </w:div>
    <w:div w:id="1970236030">
      <w:bodyDiv w:val="1"/>
      <w:marLeft w:val="0"/>
      <w:marRight w:val="0"/>
      <w:marTop w:val="0"/>
      <w:marBottom w:val="0"/>
      <w:divBdr>
        <w:top w:val="none" w:sz="0" w:space="0" w:color="auto"/>
        <w:left w:val="none" w:sz="0" w:space="0" w:color="auto"/>
        <w:bottom w:val="none" w:sz="0" w:space="0" w:color="auto"/>
        <w:right w:val="none" w:sz="0" w:space="0" w:color="auto"/>
      </w:divBdr>
    </w:div>
    <w:div w:id="1979794869">
      <w:bodyDiv w:val="1"/>
      <w:marLeft w:val="0"/>
      <w:marRight w:val="0"/>
      <w:marTop w:val="0"/>
      <w:marBottom w:val="0"/>
      <w:divBdr>
        <w:top w:val="none" w:sz="0" w:space="0" w:color="auto"/>
        <w:left w:val="none" w:sz="0" w:space="0" w:color="auto"/>
        <w:bottom w:val="none" w:sz="0" w:space="0" w:color="auto"/>
        <w:right w:val="none" w:sz="0" w:space="0" w:color="auto"/>
      </w:divBdr>
    </w:div>
    <w:div w:id="1990092797">
      <w:bodyDiv w:val="1"/>
      <w:marLeft w:val="0"/>
      <w:marRight w:val="0"/>
      <w:marTop w:val="0"/>
      <w:marBottom w:val="0"/>
      <w:divBdr>
        <w:top w:val="none" w:sz="0" w:space="0" w:color="auto"/>
        <w:left w:val="none" w:sz="0" w:space="0" w:color="auto"/>
        <w:bottom w:val="none" w:sz="0" w:space="0" w:color="auto"/>
        <w:right w:val="none" w:sz="0" w:space="0" w:color="auto"/>
      </w:divBdr>
    </w:div>
    <w:div w:id="2011910808">
      <w:bodyDiv w:val="1"/>
      <w:marLeft w:val="0"/>
      <w:marRight w:val="0"/>
      <w:marTop w:val="0"/>
      <w:marBottom w:val="0"/>
      <w:divBdr>
        <w:top w:val="none" w:sz="0" w:space="0" w:color="auto"/>
        <w:left w:val="none" w:sz="0" w:space="0" w:color="auto"/>
        <w:bottom w:val="none" w:sz="0" w:space="0" w:color="auto"/>
        <w:right w:val="none" w:sz="0" w:space="0" w:color="auto"/>
      </w:divBdr>
    </w:div>
    <w:div w:id="2038460657">
      <w:bodyDiv w:val="1"/>
      <w:marLeft w:val="0"/>
      <w:marRight w:val="0"/>
      <w:marTop w:val="0"/>
      <w:marBottom w:val="0"/>
      <w:divBdr>
        <w:top w:val="none" w:sz="0" w:space="0" w:color="auto"/>
        <w:left w:val="none" w:sz="0" w:space="0" w:color="auto"/>
        <w:bottom w:val="none" w:sz="0" w:space="0" w:color="auto"/>
        <w:right w:val="none" w:sz="0" w:space="0" w:color="auto"/>
      </w:divBdr>
    </w:div>
    <w:div w:id="2066102766">
      <w:bodyDiv w:val="1"/>
      <w:marLeft w:val="0"/>
      <w:marRight w:val="0"/>
      <w:marTop w:val="0"/>
      <w:marBottom w:val="0"/>
      <w:divBdr>
        <w:top w:val="none" w:sz="0" w:space="0" w:color="auto"/>
        <w:left w:val="none" w:sz="0" w:space="0" w:color="auto"/>
        <w:bottom w:val="none" w:sz="0" w:space="0" w:color="auto"/>
        <w:right w:val="none" w:sz="0" w:space="0" w:color="auto"/>
      </w:divBdr>
      <w:divsChild>
        <w:div w:id="1891962794">
          <w:marLeft w:val="0"/>
          <w:marRight w:val="0"/>
          <w:marTop w:val="0"/>
          <w:marBottom w:val="0"/>
          <w:divBdr>
            <w:top w:val="none" w:sz="0" w:space="0" w:color="auto"/>
            <w:left w:val="none" w:sz="0" w:space="0" w:color="auto"/>
            <w:bottom w:val="none" w:sz="0" w:space="0" w:color="auto"/>
            <w:right w:val="none" w:sz="0" w:space="0" w:color="auto"/>
          </w:divBdr>
          <w:divsChild>
            <w:div w:id="813137224">
              <w:marLeft w:val="0"/>
              <w:marRight w:val="0"/>
              <w:marTop w:val="0"/>
              <w:marBottom w:val="0"/>
              <w:divBdr>
                <w:top w:val="none" w:sz="0" w:space="0" w:color="auto"/>
                <w:left w:val="none" w:sz="0" w:space="0" w:color="auto"/>
                <w:bottom w:val="none" w:sz="0" w:space="0" w:color="auto"/>
                <w:right w:val="none" w:sz="0" w:space="0" w:color="auto"/>
              </w:divBdr>
              <w:divsChild>
                <w:div w:id="2031838770">
                  <w:marLeft w:val="0"/>
                  <w:marRight w:val="0"/>
                  <w:marTop w:val="0"/>
                  <w:marBottom w:val="0"/>
                  <w:divBdr>
                    <w:top w:val="none" w:sz="0" w:space="0" w:color="auto"/>
                    <w:left w:val="none" w:sz="0" w:space="0" w:color="auto"/>
                    <w:bottom w:val="none" w:sz="0" w:space="0" w:color="auto"/>
                    <w:right w:val="none" w:sz="0" w:space="0" w:color="auto"/>
                  </w:divBdr>
                  <w:divsChild>
                    <w:div w:id="48335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667393">
      <w:bodyDiv w:val="1"/>
      <w:marLeft w:val="0"/>
      <w:marRight w:val="0"/>
      <w:marTop w:val="0"/>
      <w:marBottom w:val="0"/>
      <w:divBdr>
        <w:top w:val="none" w:sz="0" w:space="0" w:color="auto"/>
        <w:left w:val="none" w:sz="0" w:space="0" w:color="auto"/>
        <w:bottom w:val="none" w:sz="0" w:space="0" w:color="auto"/>
        <w:right w:val="none" w:sz="0" w:space="0" w:color="auto"/>
      </w:divBdr>
    </w:div>
    <w:div w:id="2098281630">
      <w:bodyDiv w:val="1"/>
      <w:marLeft w:val="0"/>
      <w:marRight w:val="0"/>
      <w:marTop w:val="0"/>
      <w:marBottom w:val="0"/>
      <w:divBdr>
        <w:top w:val="none" w:sz="0" w:space="0" w:color="auto"/>
        <w:left w:val="none" w:sz="0" w:space="0" w:color="auto"/>
        <w:bottom w:val="none" w:sz="0" w:space="0" w:color="auto"/>
        <w:right w:val="none" w:sz="0" w:space="0" w:color="auto"/>
      </w:divBdr>
    </w:div>
    <w:div w:id="2098399143">
      <w:bodyDiv w:val="1"/>
      <w:marLeft w:val="0"/>
      <w:marRight w:val="0"/>
      <w:marTop w:val="0"/>
      <w:marBottom w:val="0"/>
      <w:divBdr>
        <w:top w:val="none" w:sz="0" w:space="0" w:color="auto"/>
        <w:left w:val="none" w:sz="0" w:space="0" w:color="auto"/>
        <w:bottom w:val="none" w:sz="0" w:space="0" w:color="auto"/>
        <w:right w:val="none" w:sz="0" w:space="0" w:color="auto"/>
      </w:divBdr>
    </w:div>
    <w:div w:id="2109230022">
      <w:bodyDiv w:val="1"/>
      <w:marLeft w:val="0"/>
      <w:marRight w:val="0"/>
      <w:marTop w:val="0"/>
      <w:marBottom w:val="0"/>
      <w:divBdr>
        <w:top w:val="none" w:sz="0" w:space="0" w:color="auto"/>
        <w:left w:val="none" w:sz="0" w:space="0" w:color="auto"/>
        <w:bottom w:val="none" w:sz="0" w:space="0" w:color="auto"/>
        <w:right w:val="none" w:sz="0" w:space="0" w:color="auto"/>
      </w:divBdr>
    </w:div>
    <w:div w:id="2117022805">
      <w:bodyDiv w:val="1"/>
      <w:marLeft w:val="0"/>
      <w:marRight w:val="0"/>
      <w:marTop w:val="0"/>
      <w:marBottom w:val="0"/>
      <w:divBdr>
        <w:top w:val="none" w:sz="0" w:space="0" w:color="auto"/>
        <w:left w:val="none" w:sz="0" w:space="0" w:color="auto"/>
        <w:bottom w:val="none" w:sz="0" w:space="0" w:color="auto"/>
        <w:right w:val="none" w:sz="0" w:space="0" w:color="auto"/>
      </w:divBdr>
      <w:divsChild>
        <w:div w:id="1377700342">
          <w:marLeft w:val="0"/>
          <w:marRight w:val="0"/>
          <w:marTop w:val="0"/>
          <w:marBottom w:val="0"/>
          <w:divBdr>
            <w:top w:val="none" w:sz="0" w:space="0" w:color="auto"/>
            <w:left w:val="none" w:sz="0" w:space="0" w:color="auto"/>
            <w:bottom w:val="none" w:sz="0" w:space="0" w:color="auto"/>
            <w:right w:val="none" w:sz="0" w:space="0" w:color="auto"/>
          </w:divBdr>
          <w:divsChild>
            <w:div w:id="54672587">
              <w:marLeft w:val="0"/>
              <w:marRight w:val="0"/>
              <w:marTop w:val="0"/>
              <w:marBottom w:val="0"/>
              <w:divBdr>
                <w:top w:val="none" w:sz="0" w:space="0" w:color="auto"/>
                <w:left w:val="none" w:sz="0" w:space="0" w:color="auto"/>
                <w:bottom w:val="none" w:sz="0" w:space="0" w:color="auto"/>
                <w:right w:val="none" w:sz="0" w:space="0" w:color="auto"/>
              </w:divBdr>
            </w:div>
          </w:divsChild>
        </w:div>
        <w:div w:id="750933922">
          <w:marLeft w:val="0"/>
          <w:marRight w:val="0"/>
          <w:marTop w:val="0"/>
          <w:marBottom w:val="0"/>
          <w:divBdr>
            <w:top w:val="none" w:sz="0" w:space="0" w:color="auto"/>
            <w:left w:val="none" w:sz="0" w:space="0" w:color="auto"/>
            <w:bottom w:val="none" w:sz="0" w:space="0" w:color="auto"/>
            <w:right w:val="none" w:sz="0" w:space="0" w:color="auto"/>
          </w:divBdr>
        </w:div>
      </w:divsChild>
    </w:div>
    <w:div w:id="2121534556">
      <w:bodyDiv w:val="1"/>
      <w:marLeft w:val="0"/>
      <w:marRight w:val="0"/>
      <w:marTop w:val="0"/>
      <w:marBottom w:val="0"/>
      <w:divBdr>
        <w:top w:val="none" w:sz="0" w:space="0" w:color="auto"/>
        <w:left w:val="none" w:sz="0" w:space="0" w:color="auto"/>
        <w:bottom w:val="none" w:sz="0" w:space="0" w:color="auto"/>
        <w:right w:val="none" w:sz="0" w:space="0" w:color="auto"/>
      </w:divBdr>
    </w:div>
    <w:div w:id="213752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12DE8F0F-3CC9-4045-AC64-98C2C9D6A00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Dave Wood</dc:creator>
  <keywords/>
  <dc:description/>
  <lastModifiedBy>Dave Woode</lastModifiedBy>
  <revision>5</revision>
  <lastPrinted>2025-03-12T04:13:00.0000000Z</lastPrinted>
  <dcterms:created xsi:type="dcterms:W3CDTF">2025-03-12T04:13:00.0000000Z</dcterms:created>
  <dcterms:modified xsi:type="dcterms:W3CDTF">2026-09-14T17:39:46.3809507Z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zotero-version="6.0.28"&gt;&lt;session id="eljYnCWd"/&gt;&lt;style id="http://www.zotero.org/styles/american-medical-association" hasBibliography="1" bibliographyStyleHasBeenSet="1"/&gt;&lt;prefs&gt;&lt;pref name="automaticJournalAbbreviations" value="true</vt:lpwstr>
  </property>
  <property fmtid="{D5CDD505-2E9C-101B-9397-08002B2CF9AE}" pid="3" name="ZOTERO_PREF_2">
    <vt:lpwstr>"/&gt;&lt;pref name="fieldType" value="Field"/&gt;&lt;/prefs&gt;&lt;/data&gt;</vt:lpwstr>
  </property>
</Properties>
</file>